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Highlights</w:t>
      </w:r>
    </w:p>
    <w:p>
      <w:r>
        <w:rPr>
          <w:rFonts w:ascii="Times New Roman" w:hAnsi="Times New Roman"/>
          <w:color w:val="000000"/>
        </w:rPr>
        <w:t>The Information Costs of Climate Misinformation</w:t>
      </w:r>
    </w:p>
    <w:p>
      <w:r>
        <w:rPr>
          <w:rFonts w:ascii="Times New Roman" w:hAnsi="Times New Roman"/>
          <w:color w:val="000000"/>
        </w:rPr>
        <w:t>Evidence from Global Financial Data</w:t>
      </w:r>
    </w:p>
    <w:p>
      <w:pPr>
        <w:pStyle w:val="ListBullet"/>
      </w:pPr>
      <w:r>
        <w:rPr>
          <w:rFonts w:ascii="Times New Roman" w:hAnsi="Times New Roman"/>
          <w:color w:val="000000"/>
        </w:rPr>
        <w:t>Sector-specific climate content connects political information to energy finance.</w:t>
      </w:r>
    </w:p>
    <w:p>
      <w:pPr>
        <w:pStyle w:val="ListBullet"/>
      </w:pPr>
      <w:r>
        <w:rPr>
          <w:rFonts w:ascii="Times New Roman" w:hAnsi="Times New Roman"/>
          <w:color w:val="000000"/>
        </w:rPr>
        <w:t>Greater exposure is associated with wider spreads under local market-day controls.</w:t>
      </w:r>
    </w:p>
    <w:p>
      <w:pPr>
        <w:pStyle w:val="ListBullet"/>
      </w:pPr>
      <w:r>
        <w:rPr>
          <w:rFonts w:ascii="Times New Roman" w:hAnsi="Times New Roman"/>
          <w:color w:val="000000"/>
        </w:rPr>
        <w:t>The association is imprecise after sector-month conditions are absorbed.</w:t>
      </w:r>
    </w:p>
    <w:p>
      <w:pPr>
        <w:pStyle w:val="ListBullet"/>
      </w:pPr>
      <w:r>
        <w:rPr>
          <w:rFonts w:ascii="Times New Roman" w:hAnsi="Times New Roman"/>
          <w:color w:val="000000"/>
        </w:rPr>
        <w:t>A sector-sensitive index preserves differences across fossil and renewable firms.</w:t>
      </w:r>
    </w:p>
    <w:p>
      <w:pPr>
        <w:pStyle w:val="ListBullet"/>
      </w:pPr>
      <w:r>
        <w:rPr>
          <w:rFonts w:ascii="Times New Roman" w:hAnsi="Times New Roman"/>
          <w:color w:val="000000"/>
        </w:rPr>
        <w:t>Timing and alternative-outcome checks do not establish additional robust effects.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