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/>
          <w:color w:val="000000"/>
        </w:rPr>
        <w:t>Highlights</w:t>
      </w:r>
    </w:p>
    <w:p>
      <w:r>
        <w:rPr>
          <w:rFonts w:ascii="Times New Roman" w:hAnsi="Times New Roman"/>
          <w:color w:val="000000"/>
        </w:rPr>
        <w:t>Climate misinformation and quoted liquidity in energy equities</w:t>
      </w:r>
    </w:p>
    <w:p>
      <w:pPr>
        <w:pStyle w:val="ListBullet"/>
      </w:pPr>
      <w:r>
        <w:rPr>
          <w:rFonts w:ascii="Times New Roman" w:hAnsi="Times New Roman"/>
          <w:color w:val="000000"/>
        </w:rPr>
        <w:t>Climate content is linked to quoted spreads across nine energy sub-industries.</w:t>
      </w:r>
    </w:p>
    <w:p>
      <w:pPr>
        <w:pStyle w:val="ListBullet"/>
      </w:pPr>
      <w:r>
        <w:rPr>
          <w:rFonts w:ascii="Times New Roman" w:hAnsi="Times New Roman"/>
          <w:color w:val="000000"/>
        </w:rPr>
        <w:t>Market-day and sector-month controls change the positive monthly association.</w:t>
      </w:r>
    </w:p>
    <w:p>
      <w:pPr>
        <w:pStyle w:val="ListBullet"/>
      </w:pPr>
      <w:r>
        <w:rPr>
          <w:rFonts w:ascii="Times New Roman" w:hAnsi="Times New Roman"/>
          <w:color w:val="000000"/>
        </w:rPr>
        <w:t>The principal estimate does not establish a positive spread association.</w:t>
      </w:r>
    </w:p>
    <w:p>
      <w:pPr>
        <w:pStyle w:val="ListBullet"/>
      </w:pPr>
      <w:r>
        <w:rPr>
          <w:rFonts w:ascii="Times New Roman" w:hAnsi="Times New Roman"/>
          <w:color w:val="000000"/>
        </w:rPr>
        <w:t>Inference accounts for sector-level content and common daily trading conditions.</w:t>
      </w:r>
    </w:p>
    <w:p>
      <w:pPr>
        <w:pStyle w:val="ListBullet"/>
      </w:pPr>
      <w:r>
        <w:rPr>
          <w:rFonts w:ascii="Times New Roman" w:hAnsi="Times New Roman"/>
          <w:color w:val="000000"/>
        </w:rPr>
        <w:t>Content availability and investor exposure remain distinct economic concepts.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Highlights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