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Data Analyst to Scientist Accelerator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28575</wp:posOffset>
            </wp:positionV>
            <wp:extent cx="802538" cy="802538"/>
            <wp:effectExtent b="0" l="0" r="0" t="0"/>
            <wp:wrapSquare wrapText="bothSides" distB="0" distT="0" distL="0" distR="0"/>
            <wp:docPr descr="Decoded logo" id="8" name="image1.png"/>
            <a:graphic>
              <a:graphicData uri="http://schemas.openxmlformats.org/drawingml/2006/picture">
                <pic:pic>
                  <pic:nvPicPr>
                    <pic:cNvPr descr="Decoded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538" cy="802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rPr/>
      </w:pPr>
      <w:bookmarkStart w:colFirst="0" w:colLast="0" w:name="_k2b22zvhma17" w:id="0"/>
      <w:bookmarkEnd w:id="0"/>
      <w:r w:rsidDel="00000000" w:rsidR="00000000" w:rsidRPr="00000000">
        <w:rPr>
          <w:rtl w:val="0"/>
        </w:rPr>
        <w:t xml:space="preserve">Introduction to Python</w:t>
      </w:r>
    </w:p>
    <w:p w:rsidR="00000000" w:rsidDel="00000000" w:rsidP="00000000" w:rsidRDefault="00000000" w:rsidRPr="00000000" w14:paraId="00000003">
      <w:pPr>
        <w:pStyle w:val="Subtitle"/>
        <w:pageBreakBefore w:val="0"/>
        <w:rPr/>
      </w:pPr>
      <w:bookmarkStart w:colFirst="0" w:colLast="0" w:name="_7c2rotj4z3xf" w:id="1"/>
      <w:bookmarkEnd w:id="1"/>
      <w:r w:rsidDel="00000000" w:rsidR="00000000" w:rsidRPr="00000000">
        <w:rPr>
          <w:rtl w:val="0"/>
        </w:rPr>
        <w:t xml:space="preserve">SME Peer Review Notes - by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Mohamad Hindi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bookmarkStart w:colFirst="0" w:colLast="0" w:name="_2emkzpm8ext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my suggestions/recommendations after reviewing the notebooks. Note that my comments are based on my assumption that the notebook can be used as a reading material to revise not only code but also concepts.</w:t>
      </w:r>
    </w:p>
    <w:p w:rsidR="00000000" w:rsidDel="00000000" w:rsidP="00000000" w:rsidRDefault="00000000" w:rsidRPr="00000000" w14:paraId="00000006">
      <w:pPr>
        <w:pStyle w:val="Heading1"/>
        <w:pageBreakBefore w:val="0"/>
        <w:rPr/>
      </w:pPr>
      <w:bookmarkStart w:colFirst="0" w:colLast="0" w:name="_93sgtcdlz2a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rPr/>
      </w:pPr>
      <w:bookmarkStart w:colFirst="0" w:colLast="0" w:name="_gz8i25d4stif" w:id="4"/>
      <w:bookmarkEnd w:id="4"/>
      <w:r w:rsidDel="00000000" w:rsidR="00000000" w:rsidRPr="00000000">
        <w:rPr>
          <w:rtl w:val="0"/>
        </w:rPr>
        <w:t xml:space="preserve">M01_learner_code_along.ipynb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vgtw8r0st1t" w:id="5"/>
      <w:bookmarkEnd w:id="5"/>
      <w:r w:rsidDel="00000000" w:rsidR="00000000" w:rsidRPr="00000000">
        <w:rPr>
          <w:rtl w:val="0"/>
        </w:rPr>
        <w:t xml:space="preserve">Variables and strings: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notes of why we need variables. Ex:  “store data so it can be reused throughout the program”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1puyf3gaf9h" w:id="6"/>
      <w:bookmarkEnd w:id="6"/>
      <w:r w:rsidDel="00000000" w:rsidR="00000000" w:rsidRPr="00000000">
        <w:rPr>
          <w:rtl w:val="0"/>
        </w:rPr>
        <w:t xml:space="preserve">Basic Functions: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notes of why we create functions.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3hyqkpapxv7" w:id="7"/>
      <w:bookmarkEnd w:id="7"/>
      <w:r w:rsidDel="00000000" w:rsidR="00000000" w:rsidRPr="00000000">
        <w:rPr>
          <w:rtl w:val="0"/>
        </w:rPr>
        <w:t xml:space="preserve">Conditionals and Truthiness: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remove this block as there is a whole section about “assert”: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006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yh9eusnil3t" w:id="8"/>
      <w:bookmarkEnd w:id="8"/>
      <w:r w:rsidDel="00000000" w:rsidR="00000000" w:rsidRPr="00000000">
        <w:rPr>
          <w:rtl w:val="0"/>
        </w:rPr>
        <w:t xml:space="preserve">Lists: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that different data types ( like lists) have different methods you can apply into them. Ex “Each data type comes with a toolkit full of tools you can use, and to access these tools you use “.” followed by the tool name you want to apply”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Illustrate the difference between a function and a method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dictionary section, you started by creating an empty dictionary in two different ways. To be consistent, maybe we can show how to create an empty list too?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section: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0099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Do we need two subtitles? I mean we are checking for membership, so the element is either present or not.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code: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463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You can still use “_” as a variable and print it out, so not sure if title fits here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code: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692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Does the title fit the context? Shouldn't it be “List unpacking”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f83dcwp88d2" w:id="9"/>
      <w:bookmarkEnd w:id="9"/>
      <w:r w:rsidDel="00000000" w:rsidR="00000000" w:rsidRPr="00000000">
        <w:rPr>
          <w:rtl w:val="0"/>
        </w:rPr>
        <w:t xml:space="preserve">Tuples: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these code blocks: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616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962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Shouldn’t these be part of the “Variables” section?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mwn1yq3lsf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8eiwjhkvtnd" w:id="11"/>
      <w:bookmarkEnd w:id="11"/>
      <w:r w:rsidDel="00000000" w:rsidR="00000000" w:rsidRPr="00000000">
        <w:rPr>
          <w:rtl w:val="0"/>
        </w:rPr>
        <w:t xml:space="preserve">Dictionaries: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 this code: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222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We are not returning any default value, maybe we remove this part or make its purpose more clear?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a section showing how to iterate and print all items in a dictionary?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6fr7svmoycn" w:id="12"/>
      <w:bookmarkEnd w:id="12"/>
      <w:r w:rsidDel="00000000" w:rsidR="00000000" w:rsidRPr="00000000">
        <w:rPr>
          <w:rtl w:val="0"/>
        </w:rPr>
        <w:t xml:space="preserve">Sorting: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section: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146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It will be useful to add an example of sorting a dictionary and make use of the key parameter to specify whether to sort the dictionary by key or value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uaezuhv9rk" w:id="13"/>
      <w:bookmarkEnd w:id="13"/>
      <w:r w:rsidDel="00000000" w:rsidR="00000000" w:rsidRPr="00000000">
        <w:rPr>
          <w:rtl w:val="0"/>
        </w:rPr>
        <w:t xml:space="preserve">List Comprehension: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block, maybe we switch the order ( so learners grasp the idea of list comprehension with an easier example)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4279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vlbngtwzsdlo" w:id="14"/>
      <w:bookmarkEnd w:id="14"/>
      <w:r w:rsidDel="00000000" w:rsidR="00000000" w:rsidRPr="00000000">
        <w:rPr>
          <w:rtl w:val="0"/>
        </w:rPr>
        <w:t xml:space="preserve">Assertions: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of this section is not clear: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044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6bbh2t72k7wc" w:id="15"/>
      <w:bookmarkEnd w:id="15"/>
      <w:r w:rsidDel="00000000" w:rsidR="00000000" w:rsidRPr="00000000">
        <w:rPr>
          <w:rtl w:val="0"/>
        </w:rPr>
        <w:t xml:space="preserve">Functions as a value: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these blocks: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5003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Maybe switch the order so you first explain how lambda works, then use it as a parameter to another function?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Isnt this block redundant?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209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3b44fk84ay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p8hsgk1lkn4" w:id="17"/>
      <w:bookmarkEnd w:id="17"/>
      <w:r w:rsidDel="00000000" w:rsidR="00000000" w:rsidRPr="00000000">
        <w:rPr>
          <w:rtl w:val="0"/>
        </w:rPr>
        <w:t xml:space="preserve">Counting patterns with dictionaries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`document` not defined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gwxcbk54ok5x" w:id="18"/>
      <w:bookmarkEnd w:id="18"/>
      <w:r w:rsidDel="00000000" w:rsidR="00000000" w:rsidRPr="00000000">
        <w:rPr>
          <w:rtl w:val="0"/>
        </w:rPr>
        <w:t xml:space="preserve">defaultdict and Counter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  <w:t xml:space="preserve">Variable `document` not defined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Maybe clarify more the purpose and context of each cell, showing how to use the output in real scenarios?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nwn914z1u3le" w:id="19"/>
      <w:bookmarkEnd w:id="19"/>
      <w:r w:rsidDel="00000000" w:rsidR="00000000" w:rsidRPr="00000000">
        <w:rPr>
          <w:rtl w:val="0"/>
        </w:rPr>
        <w:t xml:space="preserve">Higher-order functions: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mentioned in the general notes, but this section will benefit the most from adding a general syntax, comments, and concept purpose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zi9ujed35gp" w:id="20"/>
      <w:bookmarkEnd w:id="20"/>
      <w:r w:rsidDel="00000000" w:rsidR="00000000" w:rsidRPr="00000000">
        <w:rPr>
          <w:rtl w:val="0"/>
        </w:rPr>
        <w:t xml:space="preserve">Regular expressions: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Already mentioned in the general notes, but this section will benefit the most from adding a general syntax, comments, and concept purpose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l6urs4alcqo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1rbxdpcjlrr8" w:id="22"/>
      <w:bookmarkEnd w:id="22"/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out the variables in the same cell they were created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code comments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a section to go over build in functions (  type(), print(), str()). This could be added either before or after the variables section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short conclusion/interpretation for the notebook subsections. Example: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3655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Here we can mention that “unlike other programming languages, python doesn't differentiate between single or double quotation” , “Quotatios are used to differentiate between variable names and text value”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Another example is to point out why you might need to copy a whole list: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781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general syntaxes whenever is appropriate. Below are some examples: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For “for loop”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1041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For “slicing”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425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For each datatype, define what it is and show real scenarios of data needed to be stored as list/dictionary/tuples… Example:</w:t>
      </w:r>
    </w:p>
    <w:p w:rsidR="00000000" w:rsidDel="00000000" w:rsidP="00000000" w:rsidRDefault="00000000" w:rsidRPr="00000000" w14:paraId="00000075">
      <w:pPr>
        <w:pStyle w:val="Heading2"/>
        <w:pageBreakBefore w:val="0"/>
        <w:rPr/>
      </w:pPr>
      <w:bookmarkStart w:colFirst="0" w:colLast="0" w:name="_ougk63kfm2qq" w:id="23"/>
      <w:bookmarkEnd w:id="23"/>
      <w:r w:rsidDel="00000000" w:rsidR="00000000" w:rsidRPr="00000000">
        <w:rPr/>
        <w:drawing>
          <wp:inline distB="114300" distT="114300" distL="114300" distR="114300">
            <wp:extent cx="6090376" cy="17899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376" cy="1789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ageBreakBefore w:val="0"/>
        <w:rPr/>
      </w:pPr>
      <w:bookmarkStart w:colFirst="0" w:colLast="0" w:name="_uaowuqivd8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qo5zzq55g6o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ageBreakBefore w:val="0"/>
        <w:rPr/>
      </w:pPr>
      <w:bookmarkStart w:colFirst="0" w:colLast="0" w:name="_fgifq1j6brf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rPr/>
      </w:pPr>
      <w:bookmarkStart w:colFirst="0" w:colLast="0" w:name="_kbj6an9x61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ageBreakBefore w:val="0"/>
        <w:rPr/>
      </w:pPr>
      <w:bookmarkStart w:colFirst="0" w:colLast="0" w:name="_5qs10nfspp1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ageBreakBefore w:val="0"/>
        <w:rPr/>
      </w:pPr>
      <w:bookmarkStart w:colFirst="0" w:colLast="0" w:name="_wm430y1b9r0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ageBreakBefore w:val="0"/>
        <w:rPr/>
      </w:pPr>
      <w:bookmarkStart w:colFirst="0" w:colLast="0" w:name="_8j6a9t634gy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ageBreakBefore w:val="0"/>
        <w:rPr/>
      </w:pPr>
      <w:bookmarkStart w:colFirst="0" w:colLast="0" w:name="_48sde5feqvb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708.6614173228347" w:top="708.6614173228347" w:left="1133.8582677165355" w:right="2267.716535433071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rlow Condense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ork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Work Sans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spacing w:line="276" w:lineRule="auto"/>
      <w:ind w:right="-1416.2598425196836"/>
      <w:jc w:val="right"/>
      <w:rPr>
        <w:rFonts w:ascii="Barlow Condensed SemiBold" w:cs="Barlow Condensed SemiBold" w:eastAsia="Barlow Condensed SemiBold" w:hAnsi="Barlow Condensed SemiBol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ageBreakBefore w:val="0"/>
      <w:spacing w:line="276" w:lineRule="auto"/>
      <w:ind w:right="-1416.2598425196836"/>
      <w:jc w:val="right"/>
      <w:rPr>
        <w:rFonts w:ascii="Barlow Condensed SemiBold" w:cs="Barlow Condensed SemiBold" w:eastAsia="Barlow Condensed SemiBold" w:hAnsi="Barlow Condensed SemiBold"/>
      </w:rPr>
    </w:pPr>
    <w:r w:rsidDel="00000000" w:rsidR="00000000" w:rsidRPr="00000000">
      <w:rPr>
        <w:rFonts w:ascii="Barlow Condensed SemiBold" w:cs="Barlow Condensed SemiBold" w:eastAsia="Barlow Condensed SemiBold" w:hAnsi="Barlow Condensed SemiBold"/>
        <w:rtl w:val="0"/>
      </w:rPr>
      <w:t xml:space="preserve">DECODED</w:t>
    </w:r>
  </w:p>
  <w:p w:rsidR="00000000" w:rsidDel="00000000" w:rsidP="00000000" w:rsidRDefault="00000000" w:rsidRPr="00000000" w14:paraId="00000082">
    <w:pPr>
      <w:pageBreakBefore w:val="0"/>
      <w:spacing w:line="276" w:lineRule="auto"/>
      <w:ind w:right="-1416.2598425196836"/>
      <w:jc w:val="right"/>
      <w:rPr>
        <w:rFonts w:ascii="Work Sans Light" w:cs="Work Sans Light" w:eastAsia="Work Sans Light" w:hAnsi="Work Sans Light"/>
        <w:sz w:val="16"/>
        <w:szCs w:val="16"/>
      </w:rPr>
    </w:pPr>
    <w:r w:rsidDel="00000000" w:rsidR="00000000" w:rsidRPr="00000000">
      <w:rPr>
        <w:rFonts w:ascii="Work Sans Light" w:cs="Work Sans Light" w:eastAsia="Work Sans Light" w:hAnsi="Work Sans Light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83">
    <w:pPr>
      <w:pageBreakBefore w:val="0"/>
      <w:spacing w:line="276" w:lineRule="auto"/>
      <w:ind w:right="-1416.2598425196836"/>
      <w:jc w:val="right"/>
      <w:rPr>
        <w:sz w:val="22"/>
        <w:szCs w:val="22"/>
      </w:rPr>
    </w:pPr>
    <w:r w:rsidDel="00000000" w:rsidR="00000000" w:rsidRPr="00000000">
      <w:rPr>
        <w:sz w:val="16"/>
        <w:szCs w:val="16"/>
        <w:rtl w:val="0"/>
      </w:rPr>
      <w:t xml:space="preserve">+44 (0)20 3583 0972  |  info@decoded.com  |  decoded.com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ageBreakBefore w:val="0"/>
      <w:ind w:right="-1416.2598425196836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" w:cs="Work Sans" w:eastAsia="Work Sans" w:hAnsi="Work Sans"/>
        <w:lang w:val="en_GB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lineRule="auto"/>
    </w:pPr>
    <w:rPr>
      <w:rFonts w:ascii="Work Sans SemiBold" w:cs="Work Sans SemiBold" w:eastAsia="Work Sans SemiBold" w:hAnsi="Work Sans SemiBol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00" w:before="200" w:lineRule="auto"/>
    </w:pPr>
    <w:rPr>
      <w:rFonts w:ascii="Work Sans SemiBold" w:cs="Work Sans SemiBold" w:eastAsia="Work Sans SemiBold" w:hAnsi="Work Sans SemiBold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Work Sans SemiBold" w:cs="Work Sans SemiBold" w:eastAsia="Work Sans SemiBold" w:hAnsi="Work Sans SemiBold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ohamad.hindi@decoded.com" TargetMode="External"/><Relationship Id="rId8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19" Type="http://schemas.openxmlformats.org/officeDocument/2006/relationships/image" Target="media/image4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WorkSansSemiBold-italic.ttf"/><Relationship Id="rId10" Type="http://schemas.openxmlformats.org/officeDocument/2006/relationships/font" Target="fonts/WorkSansSemiBold-bold.ttf"/><Relationship Id="rId13" Type="http://schemas.openxmlformats.org/officeDocument/2006/relationships/font" Target="fonts/WorkSansLight-regular.ttf"/><Relationship Id="rId12" Type="http://schemas.openxmlformats.org/officeDocument/2006/relationships/font" Target="fonts/WorkSansSemiBold-boldItalic.ttf"/><Relationship Id="rId1" Type="http://schemas.openxmlformats.org/officeDocument/2006/relationships/font" Target="fonts/BarlowCondensedSemiBold-regular.ttf"/><Relationship Id="rId2" Type="http://schemas.openxmlformats.org/officeDocument/2006/relationships/font" Target="fonts/BarlowCondensedSemiBold-bold.ttf"/><Relationship Id="rId3" Type="http://schemas.openxmlformats.org/officeDocument/2006/relationships/font" Target="fonts/BarlowCondensedSemiBold-italic.ttf"/><Relationship Id="rId4" Type="http://schemas.openxmlformats.org/officeDocument/2006/relationships/font" Target="fonts/BarlowCondensedSemiBold-boldItalic.ttf"/><Relationship Id="rId9" Type="http://schemas.openxmlformats.org/officeDocument/2006/relationships/font" Target="fonts/WorkSansSemiBold-regular.ttf"/><Relationship Id="rId15" Type="http://schemas.openxmlformats.org/officeDocument/2006/relationships/font" Target="fonts/WorkSansLight-italic.ttf"/><Relationship Id="rId14" Type="http://schemas.openxmlformats.org/officeDocument/2006/relationships/font" Target="fonts/WorkSansLight-bold.ttf"/><Relationship Id="rId16" Type="http://schemas.openxmlformats.org/officeDocument/2006/relationships/font" Target="fonts/WorkSansLight-boldItalic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