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6C1B28" w14:textId="017D8324" w:rsidR="00176B54" w:rsidRPr="00176B54" w:rsidRDefault="00176B54" w:rsidP="007C21CE">
      <w:pPr>
        <w:spacing w:after="0" w:line="240" w:lineRule="auto"/>
        <w:contextualSpacing/>
        <w:rPr>
          <w:lang w:val="en-US"/>
        </w:rPr>
      </w:pPr>
      <w:r w:rsidRPr="00A77464">
        <w:rPr>
          <w:b/>
          <w:bCs/>
          <w:lang w:val="en-US"/>
        </w:rPr>
        <w:t>Moving Average Explanation</w:t>
      </w:r>
      <w:r w:rsidRPr="00A77464">
        <w:rPr>
          <w:b/>
          <w:bCs/>
          <w:lang w:val="en-US"/>
        </w:rPr>
        <w:br/>
      </w:r>
      <w:r w:rsidRPr="00176B54">
        <w:rPr>
          <w:lang w:val="en-US"/>
        </w:rPr>
        <w:t>The 7-day moving average (thinnest line) appears to be the most reactive to short-term price fluctuations.</w:t>
      </w:r>
    </w:p>
    <w:p w14:paraId="005AAB58" w14:textId="77777777" w:rsidR="00176B54" w:rsidRPr="00176B54" w:rsidRDefault="00176B54" w:rsidP="007C21CE">
      <w:pPr>
        <w:spacing w:after="0" w:line="240" w:lineRule="auto"/>
        <w:contextualSpacing/>
        <w:rPr>
          <w:lang w:val="en-US"/>
        </w:rPr>
      </w:pPr>
      <w:r w:rsidRPr="00176B54">
        <w:rPr>
          <w:lang w:val="en-US"/>
        </w:rPr>
        <w:t>The 30-day and 90-day moving averages (thicker lines) seem to be smoothing out some of the shorter-term volatility and following a similar upward trend as the closing price.</w:t>
      </w:r>
    </w:p>
    <w:p w14:paraId="5D9761FF" w14:textId="316C1255" w:rsidR="00176B54" w:rsidRDefault="00176B54" w:rsidP="007C21CE">
      <w:pPr>
        <w:spacing w:after="0" w:line="240" w:lineRule="auto"/>
        <w:contextualSpacing/>
        <w:rPr>
          <w:lang w:val="en-US"/>
        </w:rPr>
      </w:pPr>
      <w:r w:rsidRPr="00176B54">
        <w:rPr>
          <w:lang w:val="en-US"/>
        </w:rPr>
        <w:t>The 180-day moving average (thickest line) has the smoothest appearance, representing a long-term perspective. It also follows an upward trend, but with less fluctuation than the shorter averages.</w:t>
      </w:r>
    </w:p>
    <w:p w14:paraId="7F27253B" w14:textId="77777777" w:rsidR="0000343F" w:rsidRDefault="0000343F" w:rsidP="007C21CE">
      <w:pPr>
        <w:spacing w:after="0" w:line="240" w:lineRule="auto"/>
        <w:contextualSpacing/>
        <w:rPr>
          <w:lang w:val="en-US"/>
        </w:rPr>
      </w:pPr>
    </w:p>
    <w:p w14:paraId="2CC0900A" w14:textId="77777777" w:rsidR="00A77464" w:rsidRPr="00A77464" w:rsidRDefault="00A77464" w:rsidP="007C21CE">
      <w:pPr>
        <w:spacing w:after="0" w:line="240" w:lineRule="auto"/>
        <w:contextualSpacing/>
        <w:rPr>
          <w:b/>
          <w:bCs/>
          <w:lang w:val="en-US"/>
        </w:rPr>
      </w:pPr>
      <w:r w:rsidRPr="00A77464">
        <w:rPr>
          <w:b/>
          <w:bCs/>
          <w:lang w:val="en-US"/>
        </w:rPr>
        <w:t>On-Balance Volume (OBV) Explanation</w:t>
      </w:r>
    </w:p>
    <w:p w14:paraId="4E571544" w14:textId="77777777" w:rsidR="00A77464" w:rsidRPr="00A77464" w:rsidRDefault="00A77464" w:rsidP="007C21CE">
      <w:pPr>
        <w:spacing w:after="0" w:line="240" w:lineRule="auto"/>
        <w:contextualSpacing/>
        <w:rPr>
          <w:lang w:val="en-US"/>
        </w:rPr>
      </w:pPr>
      <w:r w:rsidRPr="00A77464">
        <w:rPr>
          <w:lang w:val="en-US"/>
        </w:rPr>
        <w:t>The On-Balance Volume (OBV) is a momentum indicator that relates volume to price changes. It assumes volume precedes price movement and aims to predict when a security's price will follow the volume.</w:t>
      </w:r>
    </w:p>
    <w:p w14:paraId="56FC383C" w14:textId="77777777" w:rsidR="00A77464" w:rsidRPr="00A77464" w:rsidRDefault="00A77464" w:rsidP="007C21CE">
      <w:pPr>
        <w:spacing w:after="0" w:line="240" w:lineRule="auto"/>
        <w:contextualSpacing/>
        <w:rPr>
          <w:lang w:val="en-US"/>
        </w:rPr>
      </w:pPr>
      <w:r w:rsidRPr="00A77464">
        <w:rPr>
          <w:lang w:val="en-US"/>
        </w:rPr>
        <w:t>Upward Price Movements: When the closing price is higher than the previous close, the day's volume is added to the OBV total. Consistent higher closings and increasing OBV suggest bullish sentiment.</w:t>
      </w:r>
    </w:p>
    <w:p w14:paraId="7ACE4154" w14:textId="77777777" w:rsidR="00A77464" w:rsidRPr="00A77464" w:rsidRDefault="00A77464" w:rsidP="007C21CE">
      <w:pPr>
        <w:spacing w:after="0" w:line="240" w:lineRule="auto"/>
        <w:contextualSpacing/>
        <w:rPr>
          <w:lang w:val="en-US"/>
        </w:rPr>
      </w:pPr>
      <w:r w:rsidRPr="00A77464">
        <w:rPr>
          <w:lang w:val="en-US"/>
        </w:rPr>
        <w:t>Downward Price Movements: If the closing price is lower than the previous day, the volume is subtracted from the OBV total. Consistent lower closings and decreasing OBV indicate bearish sentiment.</w:t>
      </w:r>
    </w:p>
    <w:p w14:paraId="72049BCF" w14:textId="77777777" w:rsidR="00A77464" w:rsidRPr="00A77464" w:rsidRDefault="00A77464" w:rsidP="007C21CE">
      <w:pPr>
        <w:spacing w:after="0" w:line="240" w:lineRule="auto"/>
        <w:contextualSpacing/>
        <w:rPr>
          <w:lang w:val="en-US"/>
        </w:rPr>
      </w:pPr>
      <w:r w:rsidRPr="00A77464">
        <w:rPr>
          <w:lang w:val="en-US"/>
        </w:rPr>
        <w:t>Price Trends: An upward trend in OBV along with price suggests a continuation of that trend. Conversely, if the OBV is not following the price trend, it might signal a price reversal.</w:t>
      </w:r>
    </w:p>
    <w:p w14:paraId="7884F3C7" w14:textId="1443A0D3" w:rsidR="006D007E" w:rsidRDefault="00A77464" w:rsidP="007C21CE">
      <w:pPr>
        <w:spacing w:after="0" w:line="240" w:lineRule="auto"/>
        <w:contextualSpacing/>
        <w:rPr>
          <w:lang w:val="en-US"/>
        </w:rPr>
      </w:pPr>
      <w:r w:rsidRPr="00A77464">
        <w:rPr>
          <w:lang w:val="en-US"/>
        </w:rPr>
        <w:t>Divergence: If the OBV is moving differently from the price (for example, if the price is reaching new highs but the OBV is not), it may indicate a weakening trend and potential reversal.</w:t>
      </w:r>
    </w:p>
    <w:p w14:paraId="78B9DADC" w14:textId="77777777" w:rsidR="007C21CE" w:rsidRDefault="007C21CE" w:rsidP="007C21CE">
      <w:pPr>
        <w:spacing w:after="0" w:line="240" w:lineRule="auto"/>
        <w:contextualSpacing/>
        <w:rPr>
          <w:lang w:val="en-US"/>
        </w:rPr>
      </w:pPr>
    </w:p>
    <w:p w14:paraId="57CC5B2A" w14:textId="77777777" w:rsidR="007C21CE" w:rsidRPr="0000343F" w:rsidRDefault="007C21CE" w:rsidP="007C21CE">
      <w:pPr>
        <w:spacing w:after="0" w:line="240" w:lineRule="auto"/>
        <w:contextualSpacing/>
        <w:rPr>
          <w:b/>
          <w:bCs/>
          <w:lang w:val="en-US"/>
        </w:rPr>
      </w:pPr>
      <w:r w:rsidRPr="0000343F">
        <w:rPr>
          <w:b/>
          <w:bCs/>
          <w:lang w:val="en-US"/>
        </w:rPr>
        <w:t>MACD Indicator Explanation</w:t>
      </w:r>
    </w:p>
    <w:p w14:paraId="7FC5EAFA" w14:textId="77777777" w:rsidR="007C21CE" w:rsidRPr="007C21CE" w:rsidRDefault="007C21CE" w:rsidP="007C21CE">
      <w:pPr>
        <w:spacing w:after="0" w:line="240" w:lineRule="auto"/>
        <w:contextualSpacing/>
        <w:rPr>
          <w:lang w:val="en-US"/>
        </w:rPr>
      </w:pPr>
      <w:r w:rsidRPr="007C21CE">
        <w:rPr>
          <w:lang w:val="en-US"/>
        </w:rPr>
        <w:t>The MACD line (darker blue line) is swift to reflect price momentum and trend changes. It is more sensitive to immediate price movements, often crossing above or below the Signal Line.</w:t>
      </w:r>
    </w:p>
    <w:p w14:paraId="01DFF996" w14:textId="77777777" w:rsidR="007C21CE" w:rsidRPr="007C21CE" w:rsidRDefault="007C21CE" w:rsidP="007C21CE">
      <w:pPr>
        <w:spacing w:after="0" w:line="240" w:lineRule="auto"/>
        <w:contextualSpacing/>
        <w:rPr>
          <w:lang w:val="en-US"/>
        </w:rPr>
      </w:pPr>
      <w:r w:rsidRPr="007C21CE">
        <w:rPr>
          <w:lang w:val="en-US"/>
        </w:rPr>
        <w:t>The Signal Line (lighter blue line), acting as a smoother counterpart, trails the MACD line, reflecting slower, more established trends. It helps filter out the noise, providing a clearer view of the trend direction.</w:t>
      </w:r>
    </w:p>
    <w:p w14:paraId="4A3CF6EE" w14:textId="77777777" w:rsidR="007C21CE" w:rsidRPr="007C21CE" w:rsidRDefault="007C21CE" w:rsidP="007C21CE">
      <w:pPr>
        <w:spacing w:after="0" w:line="240" w:lineRule="auto"/>
        <w:contextualSpacing/>
        <w:rPr>
          <w:lang w:val="en-US"/>
        </w:rPr>
      </w:pPr>
      <w:r w:rsidRPr="007C21CE">
        <w:rPr>
          <w:lang w:val="en-US"/>
        </w:rPr>
        <w:t>Crossing Events: When the MACD line crosses above the Signal Line, it is typically interpreted as a bullish signal, suggesting a potential increase in upward momentum. Conversely, a cross below may indicate a bearish signal, pointing to increasing downward momentum.</w:t>
      </w:r>
    </w:p>
    <w:p w14:paraId="73D77AEB" w14:textId="07FB74E8" w:rsidR="007C21CE" w:rsidRDefault="007C21CE" w:rsidP="007C21CE">
      <w:pPr>
        <w:spacing w:after="0" w:line="240" w:lineRule="auto"/>
        <w:contextualSpacing/>
        <w:rPr>
          <w:lang w:val="en-US"/>
        </w:rPr>
      </w:pPr>
      <w:r w:rsidRPr="007C21CE">
        <w:rPr>
          <w:lang w:val="en-US"/>
        </w:rPr>
        <w:t>Trend Confirmation: Consistency in the direction of the two lines—both heading upward or downward—can be seen as confirmation of the current trend's strength. Deviations, or divergences, could signal a weakening trend and potential reversal.</w:t>
      </w:r>
    </w:p>
    <w:p w14:paraId="2619FAF2" w14:textId="1BCC3E26" w:rsidR="0000343F" w:rsidRDefault="0000343F">
      <w:pPr>
        <w:rPr>
          <w:lang w:val="en-US"/>
        </w:rPr>
      </w:pPr>
      <w:r>
        <w:rPr>
          <w:lang w:val="en-US"/>
        </w:rPr>
        <w:br w:type="page"/>
      </w:r>
    </w:p>
    <w:p w14:paraId="36E8F78A" w14:textId="77777777" w:rsidR="0000343F" w:rsidRDefault="0000343F" w:rsidP="0000343F">
      <w:pPr>
        <w:spacing w:after="0" w:line="240" w:lineRule="auto"/>
        <w:contextualSpacing/>
        <w:rPr>
          <w:b/>
          <w:bCs/>
          <w:lang w:val="en-US"/>
        </w:rPr>
      </w:pPr>
      <w:r w:rsidRPr="0000343F">
        <w:rPr>
          <w:b/>
          <w:bCs/>
          <w:lang w:val="en-US"/>
        </w:rPr>
        <w:lastRenderedPageBreak/>
        <w:t>Explanation of Bollinger Bands</w:t>
      </w:r>
    </w:p>
    <w:p w14:paraId="04AE3F3B" w14:textId="77777777" w:rsidR="00A73934" w:rsidRPr="00A73934" w:rsidRDefault="00A73934" w:rsidP="00A73934">
      <w:pPr>
        <w:spacing w:after="0" w:line="240" w:lineRule="auto"/>
        <w:contextualSpacing/>
        <w:rPr>
          <w:lang w:val="en-US"/>
        </w:rPr>
      </w:pPr>
      <w:r w:rsidRPr="00A73934">
        <w:rPr>
          <w:lang w:val="en-US"/>
        </w:rPr>
        <w:t>Middle Band: This is a simple moving average (SMA) that serves as the base for the upper and lower bands. Typically, it is a 20-day SMA, though the period may vary based on the trader's preferences and the asset's characteristics.</w:t>
      </w:r>
    </w:p>
    <w:p w14:paraId="2BBC64EB" w14:textId="77777777" w:rsidR="00A73934" w:rsidRPr="00A73934" w:rsidRDefault="00A73934" w:rsidP="00A73934">
      <w:pPr>
        <w:spacing w:after="0" w:line="240" w:lineRule="auto"/>
        <w:contextualSpacing/>
        <w:rPr>
          <w:lang w:val="en-US"/>
        </w:rPr>
      </w:pPr>
    </w:p>
    <w:p w14:paraId="757864D5" w14:textId="77777777" w:rsidR="00A73934" w:rsidRPr="00A73934" w:rsidRDefault="00A73934" w:rsidP="00A73934">
      <w:pPr>
        <w:spacing w:after="0" w:line="240" w:lineRule="auto"/>
        <w:contextualSpacing/>
        <w:rPr>
          <w:lang w:val="en-US"/>
        </w:rPr>
      </w:pPr>
      <w:r w:rsidRPr="00A73934">
        <w:rPr>
          <w:lang w:val="en-US"/>
        </w:rPr>
        <w:t xml:space="preserve">Upper Band: This is calculated by adding </w:t>
      </w:r>
      <w:proofErr w:type="gramStart"/>
      <w:r w:rsidRPr="00A73934">
        <w:rPr>
          <w:lang w:val="en-US"/>
        </w:rPr>
        <w:t>a number of</w:t>
      </w:r>
      <w:proofErr w:type="gramEnd"/>
      <w:r w:rsidRPr="00A73934">
        <w:rPr>
          <w:lang w:val="en-US"/>
        </w:rPr>
        <w:t xml:space="preserve"> standard deviations to the middle band. The standard deviation used is typically two, which means that the upper band is usually set two standard deviations above the middle band.</w:t>
      </w:r>
    </w:p>
    <w:p w14:paraId="26C13AF0" w14:textId="77777777" w:rsidR="00A73934" w:rsidRPr="00A73934" w:rsidRDefault="00A73934" w:rsidP="00A73934">
      <w:pPr>
        <w:spacing w:after="0" w:line="240" w:lineRule="auto"/>
        <w:contextualSpacing/>
        <w:rPr>
          <w:lang w:val="en-US"/>
        </w:rPr>
      </w:pPr>
    </w:p>
    <w:p w14:paraId="22715196" w14:textId="5DFED0E4" w:rsidR="00A73934" w:rsidRPr="00A73934" w:rsidRDefault="00A73934" w:rsidP="00A73934">
      <w:pPr>
        <w:spacing w:after="0" w:line="240" w:lineRule="auto"/>
        <w:contextualSpacing/>
        <w:rPr>
          <w:lang w:val="en-US"/>
        </w:rPr>
      </w:pPr>
      <w:r w:rsidRPr="00A73934">
        <w:rPr>
          <w:lang w:val="en-US"/>
        </w:rPr>
        <w:t>Lower Band: This is the opposite of the upper band, calculated by subtracting the same number of standard deviations (usually two) from the middle band.</w:t>
      </w:r>
    </w:p>
    <w:p w14:paraId="226D308B" w14:textId="77777777" w:rsidR="0000343F" w:rsidRPr="0000343F" w:rsidRDefault="0000343F" w:rsidP="0000343F">
      <w:pPr>
        <w:spacing w:after="0" w:line="240" w:lineRule="auto"/>
        <w:contextualSpacing/>
        <w:rPr>
          <w:lang w:val="en-US"/>
        </w:rPr>
      </w:pPr>
      <w:r w:rsidRPr="0000343F">
        <w:rPr>
          <w:lang w:val="en-US"/>
        </w:rPr>
        <w:t>Volatility Analysis: The spacing between the upper and lower bands visually represents the volatility of the price. A wider band suggests higher volatility, while a narrow band indicates lower volatility.</w:t>
      </w:r>
    </w:p>
    <w:p w14:paraId="6301BF66" w14:textId="66E5027C" w:rsidR="007C21CE" w:rsidRPr="00176B54" w:rsidRDefault="0000343F" w:rsidP="0000343F">
      <w:pPr>
        <w:spacing w:after="0" w:line="240" w:lineRule="auto"/>
        <w:contextualSpacing/>
        <w:rPr>
          <w:lang w:val="en-US"/>
        </w:rPr>
      </w:pPr>
      <w:r w:rsidRPr="0000343F">
        <w:rPr>
          <w:lang w:val="en-US"/>
        </w:rPr>
        <w:t>Trend Indication: When the bands are trending in a particular direction, they can indicate the strength of the trend. For instance, bands that are moving upward indicate a strengthening uptrend.</w:t>
      </w:r>
    </w:p>
    <w:sectPr w:rsidR="007C21CE" w:rsidRPr="00176B5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3FA5B0C"/>
    <w:multiLevelType w:val="multilevel"/>
    <w:tmpl w:val="5F2C7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56016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B54"/>
    <w:rsid w:val="0000343F"/>
    <w:rsid w:val="00176B54"/>
    <w:rsid w:val="00570767"/>
    <w:rsid w:val="006D007E"/>
    <w:rsid w:val="007C21CE"/>
    <w:rsid w:val="00A73934"/>
    <w:rsid w:val="00A7746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7E0F6"/>
  <w15:chartTrackingRefBased/>
  <w15:docId w15:val="{63CE79EF-3C32-4E2E-93CC-E8482C49A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6B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76B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76B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6B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6B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6B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6B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6B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6B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6B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76B5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76B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6B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6B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6B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6B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6B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6B54"/>
    <w:rPr>
      <w:rFonts w:eastAsiaTheme="majorEastAsia" w:cstheme="majorBidi"/>
      <w:color w:val="272727" w:themeColor="text1" w:themeTint="D8"/>
    </w:rPr>
  </w:style>
  <w:style w:type="paragraph" w:styleId="Title">
    <w:name w:val="Title"/>
    <w:basedOn w:val="Normal"/>
    <w:next w:val="Normal"/>
    <w:link w:val="TitleChar"/>
    <w:uiPriority w:val="10"/>
    <w:qFormat/>
    <w:rsid w:val="00176B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6B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6B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6B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6B54"/>
    <w:pPr>
      <w:spacing w:before="160"/>
      <w:jc w:val="center"/>
    </w:pPr>
    <w:rPr>
      <w:i/>
      <w:iCs/>
      <w:color w:val="404040" w:themeColor="text1" w:themeTint="BF"/>
    </w:rPr>
  </w:style>
  <w:style w:type="character" w:customStyle="1" w:styleId="QuoteChar">
    <w:name w:val="Quote Char"/>
    <w:basedOn w:val="DefaultParagraphFont"/>
    <w:link w:val="Quote"/>
    <w:uiPriority w:val="29"/>
    <w:rsid w:val="00176B54"/>
    <w:rPr>
      <w:i/>
      <w:iCs/>
      <w:color w:val="404040" w:themeColor="text1" w:themeTint="BF"/>
    </w:rPr>
  </w:style>
  <w:style w:type="paragraph" w:styleId="ListParagraph">
    <w:name w:val="List Paragraph"/>
    <w:basedOn w:val="Normal"/>
    <w:uiPriority w:val="34"/>
    <w:qFormat/>
    <w:rsid w:val="00176B54"/>
    <w:pPr>
      <w:ind w:left="720"/>
      <w:contextualSpacing/>
    </w:pPr>
  </w:style>
  <w:style w:type="character" w:styleId="IntenseEmphasis">
    <w:name w:val="Intense Emphasis"/>
    <w:basedOn w:val="DefaultParagraphFont"/>
    <w:uiPriority w:val="21"/>
    <w:qFormat/>
    <w:rsid w:val="00176B54"/>
    <w:rPr>
      <w:i/>
      <w:iCs/>
      <w:color w:val="0F4761" w:themeColor="accent1" w:themeShade="BF"/>
    </w:rPr>
  </w:style>
  <w:style w:type="paragraph" w:styleId="IntenseQuote">
    <w:name w:val="Intense Quote"/>
    <w:basedOn w:val="Normal"/>
    <w:next w:val="Normal"/>
    <w:link w:val="IntenseQuoteChar"/>
    <w:uiPriority w:val="30"/>
    <w:qFormat/>
    <w:rsid w:val="00176B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6B54"/>
    <w:rPr>
      <w:i/>
      <w:iCs/>
      <w:color w:val="0F4761" w:themeColor="accent1" w:themeShade="BF"/>
    </w:rPr>
  </w:style>
  <w:style w:type="character" w:styleId="IntenseReference">
    <w:name w:val="Intense Reference"/>
    <w:basedOn w:val="DefaultParagraphFont"/>
    <w:uiPriority w:val="32"/>
    <w:qFormat/>
    <w:rsid w:val="00176B5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1424390">
      <w:bodyDiv w:val="1"/>
      <w:marLeft w:val="0"/>
      <w:marRight w:val="0"/>
      <w:marTop w:val="0"/>
      <w:marBottom w:val="0"/>
      <w:divBdr>
        <w:top w:val="none" w:sz="0" w:space="0" w:color="auto"/>
        <w:left w:val="none" w:sz="0" w:space="0" w:color="auto"/>
        <w:bottom w:val="none" w:sz="0" w:space="0" w:color="auto"/>
        <w:right w:val="none" w:sz="0" w:space="0" w:color="auto"/>
      </w:divBdr>
    </w:div>
    <w:div w:id="1047686130">
      <w:bodyDiv w:val="1"/>
      <w:marLeft w:val="0"/>
      <w:marRight w:val="0"/>
      <w:marTop w:val="0"/>
      <w:marBottom w:val="0"/>
      <w:divBdr>
        <w:top w:val="none" w:sz="0" w:space="0" w:color="auto"/>
        <w:left w:val="none" w:sz="0" w:space="0" w:color="auto"/>
        <w:bottom w:val="none" w:sz="0" w:space="0" w:color="auto"/>
        <w:right w:val="none" w:sz="0" w:space="0" w:color="auto"/>
      </w:divBdr>
    </w:div>
    <w:div w:id="1104960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84</TotalTime>
  <Pages>2</Pages>
  <Words>522</Words>
  <Characters>2979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Laurence,James</dc:creator>
  <cp:keywords/>
  <dc:description/>
  <cp:lastModifiedBy>Laurence,James</cp:lastModifiedBy>
  <cp:revision>2</cp:revision>
  <dcterms:created xsi:type="dcterms:W3CDTF">2024-04-13T16:29:00Z</dcterms:created>
  <dcterms:modified xsi:type="dcterms:W3CDTF">2024-04-14T01:24:00Z</dcterms:modified>
</cp:coreProperties>
</file>