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voice-of-the-customer-engineering-voce"/>
    <w:p>
      <w:pPr>
        <w:pStyle w:val="Heading1"/>
      </w:pPr>
      <w:r>
        <w:t xml:space="preserve">Voice of the Customer Engineering (VOCE)</w:t>
      </w:r>
    </w:p>
    <w:p>
      <w:pPr>
        <w:pStyle w:val="FirstParagraph"/>
      </w:pPr>
      <w:r>
        <w:rPr>
          <w:b/>
          <w:bCs/>
        </w:rPr>
        <w:t xml:space="preserve">January 2026</w:t>
      </w:r>
    </w:p>
    <w:p>
      <w:r>
        <w:pict>
          <v:rect style="width:0;height:1.5pt" o:hralign="center" o:hrstd="t" o:hr="t"/>
        </w:pict>
      </w:r>
    </w:p>
    <w:bookmarkStart w:id="20" w:name="purpose"/>
    <w:p>
      <w:pPr>
        <w:pStyle w:val="Heading2"/>
      </w:pPr>
      <w:r>
        <w:t xml:space="preserve">Purpose</w:t>
      </w:r>
    </w:p>
    <w:p>
      <w:pPr>
        <w:pStyle w:val="FirstParagraph"/>
      </w:pPr>
      <w:r>
        <w:t xml:space="preserve">This document recommends establishing a systematic contributions initiative to address customer pain points in AWS developer tools. The Voice of the Customer Engineering (VOCE) is uniquely positioned to bridge the gap between customer needs and service team capacity—we are close enough to customers to understand their pain points and work backwards from their requirements, whilst being technical enough to contribute secure, scalable production code.</w:t>
      </w:r>
    </w:p>
    <w:p>
      <w:pPr>
        <w:pStyle w:val="BodyText"/>
      </w:pPr>
      <w:r>
        <w:t xml:space="preserve">We request approval to continue and expand this initiative, which has already established partnerships with multiple service teams and identified high-impact contribution opportunities across AWS developer tools.</w:t>
      </w:r>
    </w:p>
    <w:bookmarkEnd w:id="20"/>
    <w:bookmarkStart w:id="21" w:name="tenets"/>
    <w:p>
      <w:pPr>
        <w:pStyle w:val="Heading2"/>
      </w:pPr>
      <w:r>
        <w:t xml:space="preserve">Tenets</w:t>
      </w:r>
    </w:p>
    <w:p>
      <w:pPr>
        <w:pStyle w:val="Compact"/>
        <w:numPr>
          <w:ilvl w:val="0"/>
          <w:numId w:val="1001"/>
        </w:numPr>
      </w:pPr>
      <w:r>
        <w:rPr>
          <w:b/>
          <w:bCs/>
        </w:rPr>
        <w:t xml:space="preserve">Customer obsession drives every decision:</w:t>
      </w:r>
      <w:r>
        <w:t xml:space="preserve"> </w:t>
      </w:r>
      <w:r>
        <w:t xml:space="preserve">Prioritise contributions based on customer impact, not internal convenience.</w:t>
      </w:r>
    </w:p>
    <w:p>
      <w:pPr>
        <w:pStyle w:val="Compact"/>
        <w:numPr>
          <w:ilvl w:val="0"/>
          <w:numId w:val="1001"/>
        </w:numPr>
      </w:pPr>
      <w:r>
        <w:rPr>
          <w:b/>
          <w:bCs/>
        </w:rPr>
        <w:t xml:space="preserve">Data informs all choices:</w:t>
      </w:r>
      <w:r>
        <w:t xml:space="preserve"> </w:t>
      </w:r>
      <w:r>
        <w:t xml:space="preserve">Use quantifiable metrics—ARR exposure, customer volume, support tickets—to guide resource allocation.</w:t>
      </w:r>
    </w:p>
    <w:p>
      <w:pPr>
        <w:pStyle w:val="Compact"/>
        <w:numPr>
          <w:ilvl w:val="0"/>
          <w:numId w:val="1001"/>
        </w:numPr>
      </w:pPr>
      <w:r>
        <w:rPr>
          <w:b/>
          <w:bCs/>
        </w:rPr>
        <w:t xml:space="preserve">Ownership through partnership:</w:t>
      </w:r>
      <w:r>
        <w:t xml:space="preserve"> </w:t>
      </w:r>
      <w:r>
        <w:t xml:space="preserve">Collaborate with service teams as partners, not vendors, ensuring mutual success.</w:t>
      </w:r>
    </w:p>
    <w:p>
      <w:pPr>
        <w:pStyle w:val="Compact"/>
        <w:numPr>
          <w:ilvl w:val="0"/>
          <w:numId w:val="1001"/>
        </w:numPr>
      </w:pPr>
      <w:r>
        <w:rPr>
          <w:b/>
          <w:bCs/>
        </w:rPr>
        <w:t xml:space="preserve">Quality over speed:</w:t>
      </w:r>
      <w:r>
        <w:t xml:space="preserve"> </w:t>
      </w:r>
      <w:r>
        <w:t xml:space="preserve">Maintain a high technical bar—we will never jeopardise security or code quality.</w:t>
      </w:r>
    </w:p>
    <w:p>
      <w:pPr>
        <w:pStyle w:val="Compact"/>
        <w:numPr>
          <w:ilvl w:val="0"/>
          <w:numId w:val="1001"/>
        </w:numPr>
      </w:pPr>
      <w:r>
        <w:rPr>
          <w:b/>
          <w:bCs/>
        </w:rPr>
        <w:t xml:space="preserve">Agility and impact:</w:t>
      </w:r>
      <w:r>
        <w:t xml:space="preserve"> </w:t>
      </w:r>
      <w:r>
        <w:t xml:space="preserve">We are not extra headcount—we pivot quickly to high-priority customer needs that aren't on service team roadmaps, focusing on issues with the greatest customer impact.</w:t>
      </w:r>
    </w:p>
    <w:bookmarkEnd w:id="21"/>
    <w:bookmarkStart w:id="26" w:name="X40553f5f336197480909af50ac03fba585dfa80"/>
    <w:p>
      <w:pPr>
        <w:pStyle w:val="Heading2"/>
      </w:pPr>
      <w:r>
        <w:t xml:space="preserve">Why Voice of the Customer Engineering (VOCE)?</w:t>
      </w:r>
    </w:p>
    <w:p>
      <w:pPr>
        <w:pStyle w:val="FirstParagraph"/>
      </w:pPr>
      <w:r>
        <w:t xml:space="preserve">The</w:t>
      </w:r>
      <w:r>
        <w:t xml:space="preserve"> </w:t>
      </w:r>
      <w:hyperlink r:id="rId22">
        <w:r>
          <w:rPr>
            <w:rStyle w:val="Hyperlink"/>
          </w:rPr>
          <w:t xml:space="preserve">VOCE</w:t>
        </w:r>
      </w:hyperlink>
      <w:r>
        <w:t xml:space="preserve"> </w:t>
      </w:r>
      <w:r>
        <w:t xml:space="preserve">team is uniquely positioned to deliver this initiative for three key reasons: our proximity to customers, our technical excellence, and our ability to bridge the gap between customer needs and service team capacity.</w:t>
      </w:r>
    </w:p>
    <w:bookmarkStart w:id="23" w:name="close-to-the-customer"/>
    <w:p>
      <w:pPr>
        <w:pStyle w:val="Heading3"/>
      </w:pPr>
      <w:r>
        <w:t xml:space="preserve">Close to the Customer</w:t>
      </w:r>
    </w:p>
    <w:p>
      <w:pPr>
        <w:pStyle w:val="FirstParagraph"/>
      </w:pPr>
      <w:r>
        <w:t xml:space="preserve">We work directly with AWS customers and understand their pain points firsthand. This proximity allows us to easily close the customer feedback loop and work backwards from real customer requirements. We identify high-impact issues that service teams may not have visibility into, and champion the voice of the developer within AWS. Our daily interactions with customers give us insight into the friction they experience with AWS developer tools—insight that doesn't always surface through traditional support channels.</w:t>
      </w:r>
    </w:p>
    <w:bookmarkEnd w:id="23"/>
    <w:bookmarkStart w:id="24" w:name="technical-excellence"/>
    <w:p>
      <w:pPr>
        <w:pStyle w:val="Heading3"/>
      </w:pPr>
      <w:r>
        <w:t xml:space="preserve">Technical Excellence</w:t>
      </w:r>
    </w:p>
    <w:p>
      <w:pPr>
        <w:pStyle w:val="FirstParagraph"/>
      </w:pPr>
      <w:r>
        <w:t xml:space="preserve">Our team has the engineering expertise to contribute production-quality code. All team members have experience committing to production codebases and understand the responsibility that comes with production code at scale. We maintain a high technical bar and follow established engineering practices, enabling us to navigate complex codebases and contribute meaningful improvements. This isn't theoretical—our engineers have shipped code that serves millions of users.</w:t>
      </w:r>
    </w:p>
    <w:bookmarkEnd w:id="24"/>
    <w:bookmarkStart w:id="25" w:name="bridge-the-gap"/>
    <w:p>
      <w:pPr>
        <w:pStyle w:val="Heading3"/>
      </w:pPr>
      <w:r>
        <w:t xml:space="preserve">Bridge the Gap</w:t>
      </w:r>
    </w:p>
    <w:p>
      <w:pPr>
        <w:pStyle w:val="FirstParagraph"/>
      </w:pPr>
      <w:r>
        <w:t xml:space="preserve">Currently, customer requests flow through support tickets that don't always connect to service team development priorities. This creates a gap: there isn't a voice of the customer (in this case AWS developers) championing their requirements, and service teams don't have a direct communication thread with customers when problems arise. We bridge this gap by identifying high-impact customer issues across repositories, quantifying business impact using customer data, partnering with service teams on strategic contributions, and delivering measurable customer impact.</w:t>
      </w:r>
    </w:p>
    <w:bookmarkEnd w:id="25"/>
    <w:bookmarkEnd w:id="26"/>
    <w:bookmarkStart w:id="27" w:name="background"/>
    <w:p>
      <w:pPr>
        <w:pStyle w:val="Heading2"/>
      </w:pPr>
      <w:r>
        <w:t xml:space="preserve">Background</w:t>
      </w:r>
    </w:p>
    <w:p>
      <w:pPr>
        <w:pStyle w:val="FirstParagraph"/>
      </w:pPr>
      <w:r>
        <w:t xml:space="preserve">AWS developers experience friction with AWS developer tools due to feature parity issues between language SDKs, long-running bugs, and missing features. Currently, there are</w:t>
      </w:r>
      <w:r>
        <w:t xml:space="preserve"> </w:t>
      </w:r>
      <w:r>
        <w:rPr>
          <w:b/>
          <w:bCs/>
        </w:rPr>
        <w:t xml:space="preserve">6,160+ open issues</w:t>
      </w:r>
      <w:r>
        <w:t xml:space="preserve"> </w:t>
      </w:r>
      <w:r>
        <w:t xml:space="preserve">across AWS' major open-source repositories. Many represent opportunities to eliminate customer friction and protect revenue.</w:t>
      </w:r>
    </w:p>
    <w:p>
      <w:pPr>
        <w:pStyle w:val="BodyText"/>
      </w:pPr>
      <w:r>
        <w:t xml:space="preserve">Service teams have confirmed that strategic contributions from VOCE would improve customer obsession. This approach allows us to work on features that service teams cannot get to in the near future, while delivering measurable customer impact. Multiple teams have indicated interest in establishing continuous collaboration.</w:t>
      </w:r>
    </w:p>
    <w:bookmarkEnd w:id="27"/>
    <w:bookmarkStart w:id="33" w:name="our-approach"/>
    <w:p>
      <w:pPr>
        <w:pStyle w:val="Heading2"/>
      </w:pPr>
      <w:r>
        <w:t xml:space="preserve">Our Approach</w:t>
      </w:r>
    </w:p>
    <w:p>
      <w:pPr>
        <w:pStyle w:val="FirstParagraph"/>
      </w:pPr>
      <w:r>
        <w:t xml:space="preserve">We follow a structured five-phase mechanism to ensure high-quality contributions that deliver real customer impact. This process has been refined through our initial projects and ensures consistency, quality, and alignment with service team expectations.</w:t>
      </w:r>
    </w:p>
    <w:bookmarkStart w:id="28" w:name="phase-1-ticket-prioritisation"/>
    <w:p>
      <w:pPr>
        <w:pStyle w:val="Heading3"/>
      </w:pPr>
      <w:r>
        <w:t xml:space="preserve">Phase 1: Ticket Prioritisation</w:t>
      </w:r>
    </w:p>
    <w:p>
      <w:pPr>
        <w:pStyle w:val="FirstParagraph"/>
      </w:pPr>
      <w:r>
        <w:t xml:space="preserve">We systematically identify and select high-impact work using our prioritisation tools to search GitHub issues across AWS repositories. We assess customer impact and revenue potential using service request data, and evaluate tickets against criteria including customer demand, revenue value, technical feasibility, and maintainer engagement. This data-driven approach ensures we focus on work that delivers the greatest customer value.</w:t>
      </w:r>
    </w:p>
    <w:bookmarkEnd w:id="28"/>
    <w:bookmarkStart w:id="29" w:name="phase-2-pre-work-requirements"/>
    <w:p>
      <w:pPr>
        <w:pStyle w:val="Heading3"/>
      </w:pPr>
      <w:r>
        <w:t xml:space="preserve">Phase 2: Pre-Work Requirements</w:t>
      </w:r>
    </w:p>
    <w:p>
      <w:pPr>
        <w:pStyle w:val="FirstParagraph"/>
      </w:pPr>
      <w:r>
        <w:t xml:space="preserve">Before starting any development, we validate customer impact justification and obtain explicit approval from repository owners. We confirm maintenance handover agreements upfront—we do not handle long-term maintenance, so the repository owner must agree to take over post-merge. We also assign an internal Bar-Raiser for quality assurance, ensuring every project has dedicated oversight from the start.</w:t>
      </w:r>
    </w:p>
    <w:bookmarkEnd w:id="29"/>
    <w:bookmarkStart w:id="30" w:name="phase-3-high-level-design"/>
    <w:p>
      <w:pPr>
        <w:pStyle w:val="Heading3"/>
      </w:pPr>
      <w:r>
        <w:t xml:space="preserve">Phase 3: High-Level Design</w:t>
      </w:r>
    </w:p>
    <w:p>
      <w:pPr>
        <w:pStyle w:val="FirstParagraph"/>
      </w:pPr>
      <w:r>
        <w:t xml:space="preserve">We set up communication and documentation by creating dedicated project Slack channels with all stakeholders and developing High-Level Design (HLD) documents. We follow a structured review process: the Bar-Raiser reviews first to ensure quality, then stakeholders review for alignment, and where appropriate, we seek customer feedback on the design. This layered approach catches issues early and ensures alignment before we write code.</w:t>
      </w:r>
    </w:p>
    <w:bookmarkEnd w:id="30"/>
    <w:bookmarkStart w:id="31" w:name="phase-4-engineering-process"/>
    <w:p>
      <w:pPr>
        <w:pStyle w:val="Heading3"/>
      </w:pPr>
      <w:r>
        <w:t xml:space="preserve">Phase 4: Engineering Process</w:t>
      </w:r>
    </w:p>
    <w:p>
      <w:pPr>
        <w:pStyle w:val="FirstParagraph"/>
      </w:pPr>
      <w:r>
        <w:t xml:space="preserve">We develop code following rigorous practices, adhering to each repository's contribution guidelines and following the repo owner's branch strategy and processes. All code undergoes internal Bar-Raiser review before external submission. We submit small, manageable PRs rather than large submissions that create review bottlenecks—this respects service team time and reduces risk.</w:t>
      </w:r>
    </w:p>
    <w:bookmarkEnd w:id="31"/>
    <w:bookmarkStart w:id="32" w:name="phase-5-post-merge"/>
    <w:p>
      <w:pPr>
        <w:pStyle w:val="Heading3"/>
      </w:pPr>
      <w:r>
        <w:t xml:space="preserve">Phase 5: Post-Merge</w:t>
      </w:r>
    </w:p>
    <w:p>
      <w:pPr>
        <w:pStyle w:val="FirstParagraph"/>
      </w:pPr>
      <w:r>
        <w:t xml:space="preserve">After code is merged, we write blog articles and submit conference talks to share our learnings. We document project summaries and lessons learned, share success through appropriate channels, and hand over maintenance to the repository owner. We also track feature adoption over time to measure real-world impact and validate our initial customer impact projections. This phase ensures our work has lasting impact and that we continuously improve our process.</w:t>
      </w:r>
    </w:p>
    <w:bookmarkEnd w:id="32"/>
    <w:bookmarkEnd w:id="33"/>
    <w:bookmarkStart w:id="36" w:name="quality-standards"/>
    <w:p>
      <w:pPr>
        <w:pStyle w:val="Heading2"/>
      </w:pPr>
      <w:r>
        <w:t xml:space="preserve">Quality Standards</w:t>
      </w:r>
    </w:p>
    <w:p>
      <w:pPr>
        <w:pStyle w:val="FirstParagraph"/>
      </w:pPr>
      <w:r>
        <w:t xml:space="preserve">We maintain a high technical bar through our Bar-Raiser programme, which ensures every contribution meets production code standards before it reaches the service team.</w:t>
      </w:r>
    </w:p>
    <w:bookmarkStart w:id="34" w:name="bar-raiser-role"/>
    <w:p>
      <w:pPr>
        <w:pStyle w:val="Heading3"/>
      </w:pPr>
      <w:r>
        <w:t xml:space="preserve">Bar-Raiser Role</w:t>
      </w:r>
    </w:p>
    <w:p>
      <w:pPr>
        <w:pStyle w:val="FirstParagraph"/>
      </w:pPr>
      <w:r>
        <w:t xml:space="preserve">Bar-Raisers are experienced team members who serve as our quality gate. They review all code before submission to repo owners, ensuring contributions meet production code standards. They provide technical guidance to help contributors navigate complex problems and review High-Level Design documents before external sharing. Most importantly, they protect customer trust by ensuring we don't submit incomplete or flawed work that could harm our reputation or the customer experience.</w:t>
      </w:r>
    </w:p>
    <w:bookmarkEnd w:id="34"/>
    <w:bookmarkStart w:id="35" w:name="engineering-practices"/>
    <w:p>
      <w:pPr>
        <w:pStyle w:val="Heading3"/>
      </w:pPr>
      <w:r>
        <w:t xml:space="preserve">Engineering Practices</w:t>
      </w:r>
    </w:p>
    <w:p>
      <w:pPr>
        <w:pStyle w:val="FirstParagraph"/>
      </w:pPr>
      <w:r>
        <w:t xml:space="preserve">We follow good engineering practices to work effectively with service teams. We avoid large submissions (such as 10,000-line PRs) that create bottlenecks for service team reviews, instead breaking work into small, manageable PRs that are easier to review and less risky. We adopt each repository's contribution guidelines and processes without exception. Security comes first—we will never jeopardise security or code quality. We write comprehensive tests that meet the high technical bar required by repo owners. Where AI tools can help us work more efficiently while maintaining these standards, we use them responsibly.</w:t>
      </w:r>
    </w:p>
    <w:bookmarkEnd w:id="35"/>
    <w:bookmarkEnd w:id="36"/>
    <w:bookmarkStart w:id="43" w:name="current-partnerships"/>
    <w:p>
      <w:pPr>
        <w:pStyle w:val="Heading2"/>
      </w:pPr>
      <w:r>
        <w:t xml:space="preserve">Current Partnerships</w:t>
      </w:r>
    </w:p>
    <w:p>
      <w:pPr>
        <w:pStyle w:val="FirstParagraph"/>
      </w:pPr>
      <w:r>
        <w:t xml:space="preserve">We have established relationships with the following service teams: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Team</w:t>
            </w:r>
          </w:p>
        </w:tc>
        <w:tc>
          <w:tcPr/>
          <w:p>
            <w:pPr>
              <w:pStyle w:val="Compact"/>
            </w:pPr>
            <w:r>
              <w:t xml:space="preserve">Repository</w:t>
            </w:r>
          </w:p>
        </w:tc>
        <w:tc>
          <w:tcPr/>
          <w:p>
            <w:pPr>
              <w:pStyle w:val="Compact"/>
            </w:pPr>
            <w:r>
              <w:t xml:space="preserve">Status</w:t>
            </w:r>
          </w:p>
        </w:tc>
      </w:tr>
      <w:tr>
        <w:tc>
          <w:tcPr/>
          <w:p>
            <w:pPr>
              <w:pStyle w:val="Compact"/>
            </w:pPr>
            <w:r>
              <w:t xml:space="preserve">AWS CLI</w:t>
            </w:r>
          </w:p>
        </w:tc>
        <w:tc>
          <w:tcPr/>
          <w:p>
            <w:pPr>
              <w:pStyle w:val="Compact"/>
            </w:pPr>
            <w:hyperlink r:id="rId37">
              <w:r>
                <w:rPr>
                  <w:rStyle w:val="Hyperlink"/>
                </w:rPr>
                <w:t xml:space="preserve">aws/aws-cli</w:t>
              </w:r>
            </w:hyperlink>
          </w:p>
        </w:tc>
        <w:tc>
          <w:tcPr/>
          <w:p>
            <w:pPr>
              <w:pStyle w:val="Compact"/>
            </w:pPr>
            <w:r>
              <w:t xml:space="preserve">Active</w:t>
            </w:r>
          </w:p>
        </w:tc>
      </w:tr>
      <w:tr>
        <w:tc>
          <w:tcPr/>
          <w:p>
            <w:pPr>
              <w:pStyle w:val="Compact"/>
            </w:pPr>
            <w:r>
              <w:t xml:space="preserve">AWS SAM CLI</w:t>
            </w:r>
          </w:p>
        </w:tc>
        <w:tc>
          <w:tcPr/>
          <w:p>
            <w:pPr>
              <w:pStyle w:val="Compact"/>
            </w:pPr>
            <w:hyperlink r:id="rId38">
              <w:r>
                <w:rPr>
                  <w:rStyle w:val="Hyperlink"/>
                </w:rPr>
                <w:t xml:space="preserve">aws/aws-sam-cli</w:t>
              </w:r>
            </w:hyperlink>
          </w:p>
        </w:tc>
        <w:tc>
          <w:tcPr/>
          <w:p>
            <w:pPr>
              <w:pStyle w:val="Compact"/>
            </w:pPr>
            <w:r>
              <w:t xml:space="preserve">Active</w:t>
            </w:r>
          </w:p>
        </w:tc>
      </w:tr>
      <w:tr>
        <w:tc>
          <w:tcPr/>
          <w:p>
            <w:pPr>
              <w:pStyle w:val="Compact"/>
            </w:pPr>
            <w:r>
              <w:t xml:space="preserve">IAM</w:t>
            </w:r>
          </w:p>
        </w:tc>
        <w:tc>
          <w:tcPr/>
          <w:p>
            <w:pPr>
              <w:pStyle w:val="Compact"/>
            </w:pPr>
            <w:r>
              <w:t xml:space="preserve">Various</w:t>
            </w:r>
          </w:p>
        </w:tc>
        <w:tc>
          <w:tcPr/>
          <w:p>
            <w:pPr>
              <w:pStyle w:val="Compact"/>
            </w:pPr>
            <w:r>
              <w:t xml:space="preserve">Active</w:t>
            </w:r>
          </w:p>
        </w:tc>
      </w:tr>
      <w:tr>
        <w:tc>
          <w:tcPr/>
          <w:p>
            <w:pPr>
              <w:pStyle w:val="Compact"/>
            </w:pPr>
            <w:r>
              <w:t xml:space="preserve">AWS SDK for JavaScript</w:t>
            </w:r>
          </w:p>
        </w:tc>
        <w:tc>
          <w:tcPr/>
          <w:p>
            <w:pPr>
              <w:pStyle w:val="Compact"/>
            </w:pPr>
            <w:hyperlink r:id="rId39">
              <w:r>
                <w:rPr>
                  <w:rStyle w:val="Hyperlink"/>
                </w:rPr>
                <w:t xml:space="preserve">aws/aws-sdk-js-v3</w:t>
              </w:r>
            </w:hyperlink>
          </w:p>
        </w:tc>
        <w:tc>
          <w:tcPr/>
          <w:p>
            <w:pPr>
              <w:pStyle w:val="Compact"/>
            </w:pPr>
            <w:r>
              <w:t xml:space="preserve">Active</w:t>
            </w:r>
          </w:p>
        </w:tc>
      </w:tr>
      <w:tr>
        <w:tc>
          <w:tcPr/>
          <w:p>
            <w:pPr>
              <w:pStyle w:val="Compact"/>
            </w:pPr>
            <w:r>
              <w:t xml:space="preserve">SDK Teams</w:t>
            </w:r>
          </w:p>
        </w:tc>
        <w:tc>
          <w:tcPr/>
          <w:p>
            <w:pPr>
              <w:pStyle w:val="Compact"/>
            </w:pPr>
            <w:r>
              <w:t xml:space="preserve">Various</w:t>
            </w:r>
          </w:p>
        </w:tc>
        <w:tc>
          <w:tcPr/>
          <w:p>
            <w:pPr>
              <w:pStyle w:val="Compact"/>
            </w:pPr>
            <w:r>
              <w:t xml:space="preserve">Active</w:t>
            </w:r>
          </w:p>
        </w:tc>
      </w:tr>
      <w:tr>
        <w:tc>
          <w:tcPr/>
          <w:p>
            <w:pPr>
              <w:pStyle w:val="Compact"/>
            </w:pPr>
            <w:r>
              <w:t xml:space="preserve">AWS CDK</w:t>
            </w:r>
          </w:p>
        </w:tc>
        <w:tc>
          <w:tcPr/>
          <w:p>
            <w:pPr>
              <w:pStyle w:val="Compact"/>
            </w:pPr>
            <w:hyperlink r:id="rId40">
              <w:r>
                <w:rPr>
                  <w:rStyle w:val="Hyperlink"/>
                </w:rPr>
                <w:t xml:space="preserve">aws/aws-cdk</w:t>
              </w:r>
            </w:hyperlink>
          </w:p>
        </w:tc>
        <w:tc>
          <w:tcPr/>
          <w:p>
            <w:pPr>
              <w:pStyle w:val="Compact"/>
            </w:pPr>
            <w:r>
              <w:t xml:space="preserve">Active</w:t>
            </w:r>
          </w:p>
        </w:tc>
      </w:tr>
      <w:tr>
        <w:tc>
          <w:tcPr/>
          <w:p>
            <w:pPr>
              <w:pStyle w:val="Compact"/>
            </w:pPr>
            <w:r>
              <w:t xml:space="preserve">Amplify</w:t>
            </w:r>
          </w:p>
        </w:tc>
        <w:tc>
          <w:tcPr/>
          <w:p>
            <w:pPr>
              <w:pStyle w:val="Compact"/>
            </w:pPr>
            <w:hyperlink r:id="rId41">
              <w:r>
                <w:rPr>
                  <w:rStyle w:val="Hyperlink"/>
                </w:rPr>
                <w:t xml:space="preserve">aws-amplify</w:t>
              </w:r>
            </w:hyperlink>
          </w:p>
        </w:tc>
        <w:tc>
          <w:tcPr/>
          <w:p>
            <w:pPr>
              <w:pStyle w:val="Compact"/>
            </w:pPr>
            <w:r>
              <w:t xml:space="preserve">Active</w:t>
            </w:r>
          </w:p>
        </w:tc>
      </w:tr>
      <w:tr>
        <w:tc>
          <w:tcPr/>
          <w:p>
            <w:pPr>
              <w:pStyle w:val="Compact"/>
            </w:pPr>
            <w:r>
              <w:t xml:space="preserve">Amazon Connect</w:t>
            </w:r>
          </w:p>
        </w:tc>
        <w:tc>
          <w:tcPr/>
          <w:p>
            <w:pPr>
              <w:pStyle w:val="Compact"/>
            </w:pPr>
            <w:hyperlink r:id="rId42">
              <w:r>
                <w:rPr>
                  <w:rStyle w:val="Hyperlink"/>
                </w:rPr>
                <w:t xml:space="preserve">amazon-connect</w:t>
              </w:r>
            </w:hyperlink>
          </w:p>
        </w:tc>
        <w:tc>
          <w:tcPr/>
          <w:p>
            <w:pPr>
              <w:pStyle w:val="Compact"/>
            </w:pPr>
            <w:r>
              <w:t xml:space="preserve">Active</w:t>
            </w:r>
          </w:p>
        </w:tc>
      </w:tr>
    </w:tbl>
    <w:bookmarkEnd w:id="43"/>
    <w:bookmarkStart w:id="56" w:name="current--planned-projects"/>
    <w:p>
      <w:pPr>
        <w:pStyle w:val="Heading2"/>
      </w:pPr>
      <w:r>
        <w:t xml:space="preserve">Current &amp; Planned Projects</w:t>
      </w:r>
    </w:p>
    <w:bookmarkStart w:id="45" w:name="active-development"/>
    <w:p>
      <w:pPr>
        <w:pStyle w:val="Heading3"/>
      </w:pPr>
      <w:r>
        <w:t xml:space="preserve">Active Development</w:t>
      </w:r>
    </w:p>
    <w:p>
      <w:pPr>
        <w:pStyle w:val="Compact"/>
        <w:numPr>
          <w:ilvl w:val="0"/>
          <w:numId w:val="1002"/>
        </w:numPr>
      </w:pPr>
      <w:r>
        <w:rPr>
          <w:b/>
          <w:bCs/>
        </w:rPr>
        <w:t xml:space="preserve">SQS Poller for JavaScript SDK</w:t>
      </w:r>
      <w:r>
        <w:t xml:space="preserve"> </w:t>
      </w:r>
      <w:r>
        <w:t xml:space="preserve">- Official polling functionality for AWS SDK for JavaScript v3 (</w:t>
      </w:r>
      <w:hyperlink r:id="rId44">
        <w:r>
          <w:rPr>
            <w:rStyle w:val="Hyperlink"/>
          </w:rPr>
          <w:t xml:space="preserve">Issue #6015</w:t>
        </w:r>
      </w:hyperlink>
      <w:r>
        <w:t xml:space="preserve">)</w:t>
      </w:r>
    </w:p>
    <w:bookmarkEnd w:id="45"/>
    <w:bookmarkStart w:id="50" w:name="queued-to-start"/>
    <w:p>
      <w:pPr>
        <w:pStyle w:val="Heading3"/>
      </w:pPr>
      <w:r>
        <w:t xml:space="preserve">Queued to Start</w:t>
      </w:r>
    </w:p>
    <w:p>
      <w:pPr>
        <w:pStyle w:val="Compact"/>
        <w:numPr>
          <w:ilvl w:val="0"/>
          <w:numId w:val="1003"/>
        </w:numPr>
      </w:pPr>
      <w:r>
        <w:rPr>
          <w:b/>
          <w:bCs/>
        </w:rPr>
        <w:t xml:space="preserve">AWS CDK RFC #72</w:t>
      </w:r>
      <w:r>
        <w:t xml:space="preserve"> </w:t>
      </w:r>
      <w:r>
        <w:t xml:space="preserve">- CDK Construct Library Module Lifecycle (</w:t>
      </w:r>
      <w:hyperlink r:id="rId46">
        <w:r>
          <w:rPr>
            <w:rStyle w:val="Hyperlink"/>
          </w:rPr>
          <w:t xml:space="preserve">Issue</w:t>
        </w:r>
      </w:hyperlink>
      <w:r>
        <w:t xml:space="preserve">)</w:t>
      </w:r>
    </w:p>
    <w:p>
      <w:pPr>
        <w:pStyle w:val="Compact"/>
        <w:numPr>
          <w:ilvl w:val="0"/>
          <w:numId w:val="1003"/>
        </w:numPr>
      </w:pPr>
      <w:r>
        <w:rPr>
          <w:b/>
          <w:bCs/>
        </w:rPr>
        <w:t xml:space="preserve">AWS CLI #9044</w:t>
      </w:r>
      <w:r>
        <w:t xml:space="preserve"> </w:t>
      </w:r>
      <w:r>
        <w:t xml:space="preserve">- CLI Enhancement Request (</w:t>
      </w:r>
      <w:hyperlink r:id="rId47">
        <w:r>
          <w:rPr>
            <w:rStyle w:val="Hyperlink"/>
          </w:rPr>
          <w:t xml:space="preserve">Issue</w:t>
        </w:r>
      </w:hyperlink>
      <w:r>
        <w:t xml:space="preserve">)</w:t>
      </w:r>
    </w:p>
    <w:p>
      <w:pPr>
        <w:pStyle w:val="Compact"/>
        <w:numPr>
          <w:ilvl w:val="0"/>
          <w:numId w:val="1003"/>
        </w:numPr>
      </w:pPr>
      <w:r>
        <w:rPr>
          <w:b/>
          <w:bCs/>
        </w:rPr>
        <w:t xml:space="preserve">Amplify UI #4398</w:t>
      </w:r>
      <w:r>
        <w:t xml:space="preserve"> </w:t>
      </w:r>
      <w:r>
        <w:t xml:space="preserve">- UI Component Enhancement (</w:t>
      </w:r>
      <w:hyperlink r:id="rId48">
        <w:r>
          <w:rPr>
            <w:rStyle w:val="Hyperlink"/>
          </w:rPr>
          <w:t xml:space="preserve">Issue</w:t>
        </w:r>
      </w:hyperlink>
      <w:r>
        <w:t xml:space="preserve">)</w:t>
      </w:r>
    </w:p>
    <w:p>
      <w:pPr>
        <w:pStyle w:val="Compact"/>
        <w:numPr>
          <w:ilvl w:val="0"/>
          <w:numId w:val="1003"/>
        </w:numPr>
      </w:pPr>
      <w:r>
        <w:rPr>
          <w:b/>
          <w:bCs/>
        </w:rPr>
        <w:t xml:space="preserve">Amplify UI #1152</w:t>
      </w:r>
      <w:r>
        <w:t xml:space="preserve"> </w:t>
      </w:r>
      <w:r>
        <w:t xml:space="preserve">- UI Framework Improvement (</w:t>
      </w:r>
      <w:hyperlink r:id="rId49">
        <w:r>
          <w:rPr>
            <w:rStyle w:val="Hyperlink"/>
          </w:rPr>
          <w:t xml:space="preserve">Issue</w:t>
        </w:r>
      </w:hyperlink>
      <w:r>
        <w:t xml:space="preserve">)</w:t>
      </w:r>
    </w:p>
    <w:bookmarkEnd w:id="50"/>
    <w:bookmarkStart w:id="55" w:name="available-for-contributors"/>
    <w:p>
      <w:pPr>
        <w:pStyle w:val="Heading3"/>
      </w:pPr>
      <w:r>
        <w:t xml:space="preserve">Available for Contributors</w:t>
      </w:r>
    </w:p>
    <w:p>
      <w:pPr>
        <w:pStyle w:val="Compact"/>
        <w:numPr>
          <w:ilvl w:val="0"/>
          <w:numId w:val="1004"/>
        </w:numPr>
      </w:pPr>
      <w:r>
        <w:rPr>
          <w:b/>
          <w:bCs/>
        </w:rPr>
        <w:t xml:space="preserve">Amazon Connect Streams #187</w:t>
      </w:r>
      <w:r>
        <w:t xml:space="preserve"> </w:t>
      </w:r>
      <w:r>
        <w:t xml:space="preserve">- Streams API Enhancement (</w:t>
      </w:r>
      <w:hyperlink r:id="rId51">
        <w:r>
          <w:rPr>
            <w:rStyle w:val="Hyperlink"/>
          </w:rPr>
          <w:t xml:space="preserve">Issue</w:t>
        </w:r>
      </w:hyperlink>
      <w:r>
        <w:t xml:space="preserve">)</w:t>
      </w:r>
    </w:p>
    <w:p>
      <w:pPr>
        <w:pStyle w:val="Compact"/>
        <w:numPr>
          <w:ilvl w:val="0"/>
          <w:numId w:val="1004"/>
        </w:numPr>
      </w:pPr>
      <w:r>
        <w:rPr>
          <w:b/>
          <w:bCs/>
        </w:rPr>
        <w:t xml:space="preserve">AWS SAM CLI #7975</w:t>
      </w:r>
      <w:r>
        <w:t xml:space="preserve"> </w:t>
      </w:r>
      <w:r>
        <w:t xml:space="preserve">- SAM CLI Feature Request (</w:t>
      </w:r>
      <w:hyperlink r:id="rId52">
        <w:r>
          <w:rPr>
            <w:rStyle w:val="Hyperlink"/>
          </w:rPr>
          <w:t xml:space="preserve">Issue</w:t>
        </w:r>
      </w:hyperlink>
      <w:r>
        <w:t xml:space="preserve">)</w:t>
      </w:r>
    </w:p>
    <w:p>
      <w:pPr>
        <w:pStyle w:val="Compact"/>
        <w:numPr>
          <w:ilvl w:val="0"/>
          <w:numId w:val="1004"/>
        </w:numPr>
      </w:pPr>
      <w:r>
        <w:rPr>
          <w:b/>
          <w:bCs/>
        </w:rPr>
        <w:t xml:space="preserve">Amplify UI #6570</w:t>
      </w:r>
      <w:r>
        <w:t xml:space="preserve"> </w:t>
      </w:r>
      <w:r>
        <w:t xml:space="preserve">- UI Component Feature (</w:t>
      </w:r>
      <w:hyperlink r:id="rId53">
        <w:r>
          <w:rPr>
            <w:rStyle w:val="Hyperlink"/>
          </w:rPr>
          <w:t xml:space="preserve">Issue</w:t>
        </w:r>
      </w:hyperlink>
      <w:r>
        <w:t xml:space="preserve">)</w:t>
      </w:r>
    </w:p>
    <w:p>
      <w:pPr>
        <w:pStyle w:val="Compact"/>
        <w:numPr>
          <w:ilvl w:val="0"/>
          <w:numId w:val="1004"/>
        </w:numPr>
      </w:pPr>
      <w:r>
        <w:rPr>
          <w:b/>
          <w:bCs/>
        </w:rPr>
        <w:t xml:space="preserve">Amplify UI #6204</w:t>
      </w:r>
      <w:r>
        <w:t xml:space="preserve"> </w:t>
      </w:r>
      <w:r>
        <w:t xml:space="preserve">- UI Framework Enhancement (</w:t>
      </w:r>
      <w:hyperlink r:id="rId54">
        <w:r>
          <w:rPr>
            <w:rStyle w:val="Hyperlink"/>
          </w:rPr>
          <w:t xml:space="preserve">Issue</w:t>
        </w:r>
      </w:hyperlink>
      <w:r>
        <w:t xml:space="preserve">)</w:t>
      </w:r>
    </w:p>
    <w:bookmarkEnd w:id="55"/>
    <w:bookmarkEnd w:id="56"/>
    <w:bookmarkStart w:id="59" w:name="success-criteria"/>
    <w:p>
      <w:pPr>
        <w:pStyle w:val="Heading2"/>
      </w:pPr>
      <w:r>
        <w:t xml:space="preserve">Success Criteria</w:t>
      </w:r>
    </w:p>
    <w:p>
      <w:pPr>
        <w:pStyle w:val="FirstParagraph"/>
      </w:pPr>
      <w:r>
        <w:t xml:space="preserve">We measure success through both delivery metrics and business metrics, tracking our effectiveness at shipping quality contributions and our impact on customer outcomes.</w:t>
      </w:r>
    </w:p>
    <w:bookmarkStart w:id="57" w:name="delivery-metrics"/>
    <w:p>
      <w:pPr>
        <w:pStyle w:val="Heading3"/>
      </w:pPr>
      <w:r>
        <w:t xml:space="preserve">Delivery Metrics</w:t>
      </w:r>
    </w:p>
    <w:p>
      <w:pPr>
        <w:pStyle w:val="FirstParagraph"/>
      </w:pPr>
      <w:r>
        <w:t xml:space="preserve">We track contributions delivered—features completed within agreed timescales and successfully handed over to service teams. We measure partnership satisfaction through feedback and testimonials from service team collaborations, ensuring we're good partners who add value rather than create burden. We also gather developer sentiment through customer testimonials from developers using AWS, validating that our work improves their experience.</w:t>
      </w:r>
    </w:p>
    <w:bookmarkEnd w:id="57"/>
    <w:bookmarkStart w:id="58" w:name="business-metrics"/>
    <w:p>
      <w:pPr>
        <w:pStyle w:val="Heading3"/>
      </w:pPr>
      <w:r>
        <w:t xml:space="preserve">Business Metrics</w:t>
      </w:r>
    </w:p>
    <w:p>
      <w:pPr>
        <w:pStyle w:val="FirstParagraph"/>
      </w:pPr>
      <w:r>
        <w:t xml:space="preserve">We measure AWS revenue impact through increased API usage driven by our contributions. We track customer spend influenced—the total spend for customers using features we've delivered. We monitor customer requests to understand how many AWS API requests are impacted directly by our work. Finally, we track at-risk ARR protected—revenue protected by resolving high-impact customer pain points before they lead to churn.</w:t>
      </w:r>
    </w:p>
    <w:bookmarkEnd w:id="58"/>
    <w:bookmarkEnd w:id="59"/>
    <w:bookmarkStart w:id="61" w:name="summary"/>
    <w:p>
      <w:pPr>
        <w:pStyle w:val="Heading2"/>
      </w:pPr>
      <w:r>
        <w:t xml:space="preserve">Summary</w:t>
      </w:r>
    </w:p>
    <w:p>
      <w:pPr>
        <w:pStyle w:val="FirstParagraph"/>
      </w:pPr>
      <w:r>
        <w:t xml:space="preserve">We request approval to continue and expand Voice of the Customer Engineering (VOCE). This initiative addresses customer pain points that service teams cannot get to in the near future, protects significant ARR by resolving high-impact issues, and leverages our unique position close to customers with technical expertise. We maintain a high technical bar through our Bar-Raiser programme and engineering practices, and we partner effectively with service teams as collaborators, not competitors.</w:t>
      </w:r>
    </w:p>
    <w:p>
      <w:pPr>
        <w:pStyle w:val="BodyText"/>
      </w:pPr>
      <w:r>
        <w:rPr>
          <w:b/>
          <w:bCs/>
        </w:rPr>
        <w:t xml:space="preserve">This is a two-way door decision.</w:t>
      </w:r>
      <w:r>
        <w:t xml:space="preserve"> </w:t>
      </w:r>
      <w:r>
        <w:t xml:space="preserve">Our phased approach allows us to validate the model with minimal risk. If contributions don't meet adoption targets or partnership dynamics prove challenging, we can pivot or discontinue without significant sunk costs.</w:t>
      </w:r>
    </w:p>
    <w:bookmarkStart w:id="60" w:name="we-need-from-you"/>
    <w:p>
      <w:pPr>
        <w:pStyle w:val="Heading3"/>
      </w:pPr>
      <w:r>
        <w:t xml:space="preserve">We need from you:</w:t>
      </w:r>
    </w:p>
    <w:p>
      <w:pPr>
        <w:pStyle w:val="Compact"/>
        <w:numPr>
          <w:ilvl w:val="0"/>
          <w:numId w:val="1005"/>
        </w:numPr>
      </w:pPr>
      <w:r>
        <w:rPr>
          <w:b/>
          <w:bCs/>
        </w:rPr>
        <w:t xml:space="preserve">High-impact tickets</w:t>
      </w:r>
      <w:r>
        <w:t xml:space="preserve"> </w:t>
      </w:r>
      <w:r>
        <w:t xml:space="preserve">- Help identifying high-impact tickets that are not currently prioritised by service teams</w:t>
      </w:r>
    </w:p>
    <w:p>
      <w:pPr>
        <w:pStyle w:val="Compact"/>
        <w:numPr>
          <w:ilvl w:val="0"/>
          <w:numId w:val="1005"/>
        </w:numPr>
      </w:pPr>
      <w:r>
        <w:rPr>
          <w:b/>
          <w:bCs/>
        </w:rPr>
        <w:t xml:space="preserve">Leadership support</w:t>
      </w:r>
      <w:r>
        <w:t xml:space="preserve"> </w:t>
      </w:r>
      <w:r>
        <w:t xml:space="preserve">- Support from leadership to unblock and enable the initiative to grow</w:t>
      </w:r>
    </w:p>
    <w:p>
      <w:pPr>
        <w:pStyle w:val="Compact"/>
        <w:numPr>
          <w:ilvl w:val="0"/>
          <w:numId w:val="1005"/>
        </w:numPr>
      </w:pPr>
      <w:r>
        <w:rPr>
          <w:b/>
          <w:bCs/>
        </w:rPr>
        <w:t xml:space="preserve">Visibility opportunities</w:t>
      </w:r>
      <w:r>
        <w:t xml:space="preserve"> </w:t>
      </w:r>
      <w:r>
        <w:t xml:space="preserve">- Opportunities to share the work we've completed with other teams</w:t>
      </w:r>
    </w:p>
    <w:p>
      <w:pPr>
        <w:pStyle w:val="FirstParagraph"/>
      </w:pPr>
      <w:r>
        <w:t xml:space="preserve">This initiative transforms customer escalations into strategic contributions that protect revenue, reduce support burden, and strengthen service team partnerships.</w:t>
      </w:r>
    </w:p>
    <w:p>
      <w:r>
        <w:pict>
          <v:rect style="width:0;height:1.5pt" o:hralign="center" o:hrstd="t" o:hr="t"/>
        </w:pict>
      </w:r>
    </w:p>
    <w:bookmarkEnd w:id="60"/>
    <w:bookmarkEnd w:id="61"/>
    <w:bookmarkStart w:id="68" w:name="frequently-asked-questions-faqs"/>
    <w:p>
      <w:pPr>
        <w:pStyle w:val="Heading2"/>
      </w:pPr>
      <w:r>
        <w:t xml:space="preserve">Frequently Asked Questions (FAQs)</w:t>
      </w:r>
    </w:p>
    <w:bookmarkStart w:id="62" w:name="Xc668b387a9f44cf5f971f4d3b9e148d5148e057"/>
    <w:p>
      <w:pPr>
        <w:pStyle w:val="Heading3"/>
      </w:pPr>
      <w:r>
        <w:t xml:space="preserve">FAQ1 - How do we avoid conflicts with service team roadmaps?</w:t>
      </w:r>
    </w:p>
    <w:p>
      <w:pPr>
        <w:pStyle w:val="FirstParagraph"/>
      </w:pPr>
      <w:r>
        <w:t xml:space="preserve">We partner, not compete. We work on issues that are high impact for customers but low priority for service teams—areas where we can add value that wouldn't otherwise happen. Our partnership agreements ensure alignment and mutual benefit.</w:t>
      </w:r>
    </w:p>
    <w:bookmarkEnd w:id="62"/>
    <w:bookmarkStart w:id="63" w:name="X5632e9282dd40cdb38fe7f4233a10dff4024f02"/>
    <w:p>
      <w:pPr>
        <w:pStyle w:val="Heading3"/>
      </w:pPr>
      <w:r>
        <w:t xml:space="preserve">FAQ2 - Who is responsible for maintenance?</w:t>
      </w:r>
    </w:p>
    <w:p>
      <w:pPr>
        <w:pStyle w:val="FirstParagraph"/>
      </w:pPr>
      <w:r>
        <w:t xml:space="preserve">We do not handle long-term maintenance. Before starting any work, we confirm that the repository owner will take over maintenance post-merge. This is a critical requirement established upfront to avoid creating orphaned code.</w:t>
      </w:r>
    </w:p>
    <w:bookmarkEnd w:id="63"/>
    <w:bookmarkStart w:id="64" w:name="faq3---how-do-we-maintain-quality"/>
    <w:p>
      <w:pPr>
        <w:pStyle w:val="Heading3"/>
      </w:pPr>
      <w:r>
        <w:t xml:space="preserve">FAQ3 - How do we maintain quality?</w:t>
      </w:r>
    </w:p>
    <w:p>
      <w:pPr>
        <w:pStyle w:val="FirstParagraph"/>
      </w:pPr>
      <w:r>
        <w:t xml:space="preserve">Through our Bar-Raiser programme. All code is reviewed internally before submission to repo owners. Bar-Raisers ensure our contributions meet production code standards and protect customer trust.</w:t>
      </w:r>
    </w:p>
    <w:bookmarkEnd w:id="64"/>
    <w:bookmarkStart w:id="65" w:name="Xf8215dfd6559efa1513197ca2c690be4a54d5c9"/>
    <w:p>
      <w:pPr>
        <w:pStyle w:val="Heading3"/>
      </w:pPr>
      <w:r>
        <w:t xml:space="preserve">FAQ4 - How do we measure long-term impact?</w:t>
      </w:r>
    </w:p>
    <w:p>
      <w:pPr>
        <w:pStyle w:val="FirstParagraph"/>
      </w:pPr>
      <w:r>
        <w:t xml:space="preserve">We track leading indicators (adoption, influenced revenue, unblocked ARR, satisfaction) and lagging indicators (retention, growth). Success means developers stay, expand usage, and recommend AWS to others.</w:t>
      </w:r>
    </w:p>
    <w:bookmarkEnd w:id="65"/>
    <w:bookmarkStart w:id="66" w:name="faq5---how-do-we-share-our-success"/>
    <w:p>
      <w:pPr>
        <w:pStyle w:val="Heading3"/>
      </w:pPr>
      <w:r>
        <w:t xml:space="preserve">FAQ5 - How do we share our success?</w:t>
      </w:r>
    </w:p>
    <w:p>
      <w:pPr>
        <w:pStyle w:val="FirstParagraph"/>
      </w:pPr>
      <w:r>
        <w:t xml:space="preserve">We contribute to established repositories that impact multiple customers. Our success is visible in the open-source community. We share via blog articles, conference talks, and internal communications.</w:t>
      </w:r>
    </w:p>
    <w:bookmarkEnd w:id="66"/>
    <w:bookmarkStart w:id="67" w:name="X643475f75dc76b5445cd9eb1964ab004fc233d9"/>
    <w:p>
      <w:pPr>
        <w:pStyle w:val="Heading3"/>
      </w:pPr>
      <w:r>
        <w:t xml:space="preserve">FAQ6 - Why small PRs instead of large contributions?</w:t>
      </w:r>
    </w:p>
    <w:p>
      <w:pPr>
        <w:pStyle w:val="FirstParagraph"/>
      </w:pPr>
      <w:r>
        <w:t xml:space="preserve">Large PRs (e.g., 10k lines) create bottlenecks for service team reviews and can delay merging. Small, manageable PRs are easier to review, less risky, and align with good engineering practices.</w:t>
      </w:r>
    </w:p>
    <w:p>
      <w:r>
        <w:pict>
          <v:rect style="width:0;height:1.5pt" o:hralign="center" o:hrstd="t" o:hr="t"/>
        </w:pict>
      </w:r>
    </w:p>
    <w:bookmarkEnd w:id="67"/>
    <w:bookmarkEnd w:id="68"/>
    <w:bookmarkStart w:id="81" w:name="appendices"/>
    <w:p>
      <w:pPr>
        <w:pStyle w:val="Heading2"/>
      </w:pPr>
      <w:r>
        <w:t xml:space="preserve">Appendices</w:t>
      </w:r>
    </w:p>
    <w:bookmarkStart w:id="78" w:name="appendix-a-repository-impact-analysis"/>
    <w:p>
      <w:pPr>
        <w:pStyle w:val="Heading3"/>
      </w:pPr>
      <w:r>
        <w:t xml:space="preserve">Appendix A: Repository Impact Analysis</w:t>
      </w:r>
    </w:p>
    <w:bookmarkStart w:id="77" w:name="X00fecff521e0bca4780a4cbf35e77172630f3a7"/>
    <w:p>
      <w:pPr>
        <w:pStyle w:val="Heading4"/>
      </w:pPr>
      <w:r>
        <w:t xml:space="preserve">High-Impact Repositories (with contributions permitted)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URL</w:t>
            </w:r>
          </w:p>
        </w:tc>
        <w:tc>
          <w:tcPr/>
          <w:p>
            <w:pPr>
              <w:pStyle w:val="Compact"/>
            </w:pPr>
            <w:r>
              <w:t xml:space="preserve">Open Issues</w:t>
            </w:r>
          </w:p>
        </w:tc>
        <w:tc>
          <w:tcPr/>
          <w:p>
            <w:pPr>
              <w:pStyle w:val="Compact"/>
            </w:pPr>
            <w:r>
              <w:t xml:space="preserve">Followers</w:t>
            </w:r>
          </w:p>
        </w:tc>
        <w:tc>
          <w:tcPr/>
          <w:p>
            <w:pPr>
              <w:pStyle w:val="Compact"/>
            </w:pPr>
            <w:r>
              <w:t xml:space="preserve">Most Starred Repo</w:t>
            </w:r>
          </w:p>
        </w:tc>
      </w:tr>
      <w:tr>
        <w:tc>
          <w:tcPr/>
          <w:p>
            <w:pPr>
              <w:pStyle w:val="Compact"/>
            </w:pPr>
            <w:r>
              <w:t xml:space="preserve">AWS Samples</w:t>
            </w:r>
          </w:p>
        </w:tc>
        <w:tc>
          <w:tcPr/>
          <w:p>
            <w:pPr>
              <w:pStyle w:val="Compact"/>
            </w:pPr>
            <w:hyperlink r:id="rId69">
              <w:hyperlink r:id="rId69">
                <w:r>
                  <w:rPr>
                    <w:rStyle w:val="Hyperlink"/>
                  </w:rPr>
                  <w:t xml:space="preserve">https://github.com/aws-samples</w:t>
                </w:r>
              </w:hyperlink>
            </w:hyperlink>
          </w:p>
        </w:tc>
        <w:tc>
          <w:tcPr/>
          <w:p>
            <w:pPr>
              <w:pStyle w:val="Compact"/>
            </w:pPr>
            <w:r>
              <w:t xml:space="preserve">450</w:t>
            </w:r>
          </w:p>
        </w:tc>
        <w:tc>
          <w:tcPr/>
          <w:p>
            <w:pPr>
              <w:pStyle w:val="Compact"/>
            </w:pPr>
            <w:r>
              <w:t xml:space="preserve">16200</w:t>
            </w:r>
          </w:p>
        </w:tc>
        <w:tc>
          <w:tcPr/>
          <w:p>
            <w:pPr>
              <w:pStyle w:val="Compact"/>
            </w:pPr>
            <w:r>
              <w:t xml:space="preserve">5500</w:t>
            </w:r>
          </w:p>
        </w:tc>
      </w:tr>
      <w:tr>
        <w:tc>
          <w:tcPr/>
          <w:p>
            <w:pPr>
              <w:pStyle w:val="Compact"/>
            </w:pPr>
            <w:r>
              <w:t xml:space="preserve">AWS</w:t>
            </w:r>
          </w:p>
        </w:tc>
        <w:tc>
          <w:tcPr/>
          <w:p>
            <w:pPr>
              <w:pStyle w:val="Compact"/>
            </w:pPr>
            <w:hyperlink r:id="rId70">
              <w:hyperlink r:id="rId70">
                <w:r>
                  <w:rPr>
                    <w:rStyle w:val="Hyperlink"/>
                  </w:rPr>
                  <w:t xml:space="preserve">https://github.com/aws</w:t>
                </w:r>
              </w:hyperlink>
            </w:hyperlink>
          </w:p>
        </w:tc>
        <w:tc>
          <w:tcPr/>
          <w:p>
            <w:pPr>
              <w:pStyle w:val="Compact"/>
            </w:pPr>
            <w:r>
              <w:t xml:space="preserve">1,200</w:t>
            </w:r>
          </w:p>
        </w:tc>
        <w:tc>
          <w:tcPr/>
          <w:p>
            <w:pPr>
              <w:pStyle w:val="Compact"/>
            </w:pPr>
            <w:r>
              <w:t xml:space="preserve">13400</w:t>
            </w:r>
          </w:p>
        </w:tc>
        <w:tc>
          <w:tcPr/>
          <w:p>
            <w:pPr>
              <w:pStyle w:val="Compact"/>
            </w:pPr>
            <w:r>
              <w:t xml:space="preserve">16000</w:t>
            </w:r>
          </w:p>
        </w:tc>
      </w:tr>
      <w:tr>
        <w:tc>
          <w:tcPr/>
          <w:p>
            <w:pPr>
              <w:pStyle w:val="Compact"/>
            </w:pPr>
            <w:r>
              <w:t xml:space="preserve">Build on AWS</w:t>
            </w:r>
          </w:p>
        </w:tc>
        <w:tc>
          <w:tcPr/>
          <w:p>
            <w:pPr>
              <w:pStyle w:val="Compact"/>
            </w:pPr>
            <w:hyperlink r:id="rId71">
              <w:hyperlink r:id="rId71">
                <w:r>
                  <w:rPr>
                    <w:rStyle w:val="Hyperlink"/>
                  </w:rPr>
                  <w:t xml:space="preserve">https://github.com/build-on-aws</w:t>
                </w:r>
              </w:hyperlink>
            </w:hyperlink>
          </w:p>
        </w:tc>
        <w:tc>
          <w:tcPr/>
          <w:p>
            <w:pPr>
              <w:pStyle w:val="Compact"/>
            </w:pPr>
            <w:r>
              <w:t xml:space="preserve">380</w:t>
            </w:r>
          </w:p>
        </w:tc>
        <w:tc>
          <w:tcPr/>
          <w:p>
            <w:pPr>
              <w:pStyle w:val="Compact"/>
            </w:pPr>
            <w:r>
              <w:t xml:space="preserve">4252</w:t>
            </w:r>
          </w:p>
        </w:tc>
        <w:tc>
          <w:tcPr/>
          <w:p>
            <w:pPr>
              <w:pStyle w:val="Compact"/>
            </w:pPr>
            <w:r>
              <w:t xml:space="preserve">13</w:t>
            </w:r>
          </w:p>
        </w:tc>
      </w:tr>
      <w:tr>
        <w:tc>
          <w:tcPr/>
          <w:p>
            <w:pPr>
              <w:pStyle w:val="Compact"/>
            </w:pPr>
            <w:r>
              <w:t xml:space="preserve">AWS IA</w:t>
            </w:r>
          </w:p>
        </w:tc>
        <w:tc>
          <w:tcPr/>
          <w:p>
            <w:pPr>
              <w:pStyle w:val="Compact"/>
            </w:pPr>
            <w:hyperlink r:id="rId72">
              <w:hyperlink r:id="rId72">
                <w:r>
                  <w:rPr>
                    <w:rStyle w:val="Hyperlink"/>
                  </w:rPr>
                  <w:t xml:space="preserve">https://github.com/aws-ia</w:t>
                </w:r>
              </w:hyperlink>
            </w:hyperlink>
          </w:p>
        </w:tc>
        <w:tc>
          <w:tcPr/>
          <w:p>
            <w:pPr>
              <w:pStyle w:val="Compact"/>
            </w:pPr>
            <w:r>
              <w:t xml:space="preserve">520</w:t>
            </w:r>
          </w:p>
        </w:tc>
        <w:tc>
          <w:tcPr/>
          <w:p>
            <w:pPr>
              <w:pStyle w:val="Compact"/>
            </w:pPr>
            <w:r>
              <w:t xml:space="preserve">1700</w:t>
            </w:r>
          </w:p>
        </w:tc>
        <w:tc>
          <w:tcPr/>
          <w:p>
            <w:pPr>
              <w:pStyle w:val="Compact"/>
            </w:pPr>
            <w:r>
              <w:t xml:space="preserve">3000</w:t>
            </w:r>
          </w:p>
        </w:tc>
      </w:tr>
      <w:tr>
        <w:tc>
          <w:tcPr/>
          <w:p>
            <w:pPr>
              <w:pStyle w:val="Compact"/>
            </w:pPr>
            <w:r>
              <w:t xml:space="preserve">AWS Labs</w:t>
            </w:r>
          </w:p>
        </w:tc>
        <w:tc>
          <w:tcPr/>
          <w:p>
            <w:pPr>
              <w:pStyle w:val="Compact"/>
            </w:pPr>
            <w:hyperlink r:id="rId73">
              <w:hyperlink r:id="rId73">
                <w:r>
                  <w:rPr>
                    <w:rStyle w:val="Hyperlink"/>
                  </w:rPr>
                  <w:t xml:space="preserve">https://github.com/awslabs</w:t>
                </w:r>
              </w:hyperlink>
            </w:hyperlink>
          </w:p>
        </w:tc>
        <w:tc>
          <w:tcPr/>
          <w:p>
            <w:pPr>
              <w:pStyle w:val="Compact"/>
            </w:pPr>
            <w:r>
              <w:t xml:space="preserve">290</w:t>
            </w:r>
          </w:p>
        </w:tc>
        <w:tc>
          <w:tcPr/>
          <w:p>
            <w:pPr>
              <w:pStyle w:val="Compact"/>
            </w:pPr>
            <w:r>
              <w:t xml:space="preserve">9600</w:t>
            </w:r>
          </w:p>
        </w:tc>
        <w:tc>
          <w:tcPr/>
          <w:p>
            <w:pPr>
              <w:pStyle w:val="Compact"/>
            </w:pPr>
            <w:r>
              <w:t xml:space="preserve">13000</w:t>
            </w:r>
          </w:p>
        </w:tc>
      </w:tr>
      <w:tr>
        <w:tc>
          <w:tcPr/>
          <w:p>
            <w:pPr>
              <w:pStyle w:val="Compact"/>
            </w:pPr>
            <w:r>
              <w:t xml:space="preserve">AWS for GitHub Actions</w:t>
            </w:r>
          </w:p>
        </w:tc>
        <w:tc>
          <w:tcPr/>
          <w:p>
            <w:pPr>
              <w:pStyle w:val="Compact"/>
            </w:pPr>
            <w:hyperlink r:id="rId74">
              <w:hyperlink r:id="rId74">
                <w:r>
                  <w:rPr>
                    <w:rStyle w:val="Hyperlink"/>
                  </w:rPr>
                  <w:t xml:space="preserve">https://github.com/aws-actions</w:t>
                </w:r>
              </w:hyperlink>
            </w:hyperlink>
          </w:p>
        </w:tc>
        <w:tc>
          <w:tcPr/>
          <w:p>
            <w:pPr>
              <w:pStyle w:val="Compact"/>
            </w:pPr>
            <w:r>
              <w:t xml:space="preserve">450</w:t>
            </w:r>
          </w:p>
        </w:tc>
        <w:tc>
          <w:tcPr/>
          <w:p>
            <w:pPr>
              <w:pStyle w:val="Compact"/>
            </w:pPr>
            <w:r>
              <w:t xml:space="preserve">1200</w:t>
            </w:r>
          </w:p>
        </w:tc>
        <w:tc>
          <w:tcPr/>
          <w:p>
            <w:pPr>
              <w:pStyle w:val="Compact"/>
            </w:pPr>
            <w:r>
              <w:t xml:space="preserve">2800</w:t>
            </w:r>
          </w:p>
        </w:tc>
      </w:tr>
      <w:tr>
        <w:tc>
          <w:tcPr/>
          <w:p>
            <w:pPr>
              <w:pStyle w:val="Compact"/>
            </w:pPr>
            <w:r>
              <w:t xml:space="preserve">AWS Solutions Library Samples</w:t>
            </w:r>
          </w:p>
        </w:tc>
        <w:tc>
          <w:tcPr/>
          <w:p>
            <w:pPr>
              <w:pStyle w:val="Compact"/>
            </w:pPr>
            <w:hyperlink r:id="rId75">
              <w:hyperlink r:id="rId75">
                <w:r>
                  <w:rPr>
                    <w:rStyle w:val="Hyperlink"/>
                  </w:rPr>
                  <w:t xml:space="preserve">https://github.com/aws-solutions-library-samples</w:t>
                </w:r>
              </w:hyperlink>
            </w:hyperlink>
          </w:p>
        </w:tc>
        <w:tc>
          <w:tcPr/>
          <w:p>
            <w:pPr>
              <w:pStyle w:val="Compact"/>
            </w:pPr>
            <w:r>
              <w:t xml:space="preserve">1,200</w:t>
            </w:r>
          </w:p>
        </w:tc>
        <w:tc>
          <w:tcPr/>
          <w:p>
            <w:pPr>
              <w:pStyle w:val="Compact"/>
            </w:pPr>
            <w:r>
              <w:t xml:space="preserve">479</w:t>
            </w:r>
          </w:p>
        </w:tc>
        <w:tc>
          <w:tcPr/>
          <w:p>
            <w:pPr>
              <w:pStyle w:val="Compact"/>
            </w:pPr>
            <w:r>
              <w:t xml:space="preserve">1300</w:t>
            </w:r>
          </w:p>
        </w:tc>
      </w:tr>
      <w:tr>
        <w:tc>
          <w:tcPr/>
          <w:p>
            <w:pPr>
              <w:pStyle w:val="Compact"/>
            </w:pPr>
            <w:r>
              <w:t xml:space="preserve">AWS Solutions</w:t>
            </w:r>
          </w:p>
        </w:tc>
        <w:tc>
          <w:tcPr/>
          <w:p>
            <w:pPr>
              <w:pStyle w:val="Compact"/>
            </w:pPr>
            <w:hyperlink r:id="rId76">
              <w:hyperlink r:id="rId76">
                <w:r>
                  <w:rPr>
                    <w:rStyle w:val="Hyperlink"/>
                  </w:rPr>
                  <w:t xml:space="preserve">https://github.com/aws-solutions</w:t>
                </w:r>
              </w:hyperlink>
            </w:hyperlink>
          </w:p>
        </w:tc>
        <w:tc>
          <w:tcPr/>
          <w:p>
            <w:pPr>
              <w:pStyle w:val="Compact"/>
            </w:pPr>
            <w:r>
              <w:t xml:space="preserve">380</w:t>
            </w:r>
          </w:p>
        </w:tc>
        <w:tc>
          <w:tcPr/>
          <w:p>
            <w:pPr>
              <w:pStyle w:val="Compact"/>
            </w:pPr>
            <w:r>
              <w:t xml:space="preserve">987</w:t>
            </w:r>
          </w:p>
        </w:tc>
        <w:tc>
          <w:tcPr/>
          <w:p>
            <w:pPr>
              <w:pStyle w:val="Compact"/>
            </w:pPr>
            <w:r>
              <w:t xml:space="preserve">1400</w:t>
            </w:r>
          </w:p>
        </w:tc>
      </w:tr>
      <w:tr>
        <w:tc>
          <w:tcPr/>
          <w:p>
            <w:pPr>
              <w:pStyle w:val="Compact"/>
            </w:pPr>
            <w:r>
              <w:t xml:space="preserve">AWS Amplify</w:t>
            </w:r>
          </w:p>
        </w:tc>
        <w:tc>
          <w:tcPr/>
          <w:p>
            <w:pPr>
              <w:pStyle w:val="Compact"/>
            </w:pPr>
            <w:hyperlink r:id="rId41">
              <w:hyperlink r:id="rId41">
                <w:r>
                  <w:rPr>
                    <w:rStyle w:val="Hyperlink"/>
                  </w:rPr>
                  <w:t xml:space="preserve">https://github.com/aws-amplify</w:t>
                </w:r>
              </w:hyperlink>
            </w:hyperlink>
          </w:p>
        </w:tc>
        <w:tc>
          <w:tcPr/>
          <w:p>
            <w:pPr>
              <w:pStyle w:val="Compact"/>
            </w:pPr>
            <w:r>
              <w:t xml:space="preserve">520</w:t>
            </w:r>
          </w:p>
        </w:tc>
        <w:tc>
          <w:tcPr/>
          <w:p>
            <w:pPr>
              <w:pStyle w:val="Compact"/>
            </w:pPr>
            <w:r>
              <w:t xml:space="preserve">976</w:t>
            </w:r>
          </w:p>
        </w:tc>
        <w:tc>
          <w:tcPr/>
          <w:p>
            <w:pPr>
              <w:pStyle w:val="Compact"/>
            </w:pPr>
            <w:r>
              <w:t xml:space="preserve">9600</w:t>
            </w:r>
          </w:p>
        </w:tc>
      </w:tr>
    </w:tbl>
    <w:bookmarkEnd w:id="77"/>
    <w:bookmarkEnd w:id="78"/>
    <w:bookmarkStart w:id="79" w:name="X1a04985241768399ee07a5c99568ff8f4e9986c"/>
    <w:p>
      <w:pPr>
        <w:pStyle w:val="Heading3"/>
      </w:pPr>
      <w:r>
        <w:t xml:space="preserve">Appendix B: Open Source Contribution Guidance</w:t>
      </w:r>
    </w:p>
    <w:p>
      <w:pPr>
        <w:pStyle w:val="Compact"/>
        <w:numPr>
          <w:ilvl w:val="0"/>
          <w:numId w:val="1006"/>
        </w:numPr>
      </w:pPr>
      <w:r>
        <w:t xml:space="preserve">Amazon Policy for external Open Source Community Discussions</w:t>
      </w:r>
    </w:p>
    <w:p>
      <w:pPr>
        <w:pStyle w:val="Compact"/>
        <w:numPr>
          <w:ilvl w:val="0"/>
          <w:numId w:val="1006"/>
        </w:numPr>
      </w:pPr>
      <w:r>
        <w:t xml:space="preserve">Reviewing PRs Guide - Open Source Wiki</w:t>
      </w:r>
    </w:p>
    <w:p>
      <w:pPr>
        <w:pStyle w:val="Compact"/>
        <w:numPr>
          <w:ilvl w:val="0"/>
          <w:numId w:val="1006"/>
        </w:numPr>
      </w:pPr>
      <w:r>
        <w:t xml:space="preserve">Accepting PRs - Open Source Wiki</w:t>
      </w:r>
    </w:p>
    <w:bookmarkEnd w:id="79"/>
    <w:bookmarkStart w:id="80" w:name="appendix-c-sqs-poller-case-study"/>
    <w:p>
      <w:pPr>
        <w:pStyle w:val="Heading3"/>
      </w:pPr>
      <w:r>
        <w:t xml:space="preserve">Appendix C: SQS Poller Case Study</w:t>
      </w:r>
    </w:p>
    <w:p>
      <w:pPr>
        <w:pStyle w:val="FirstParagraph"/>
      </w:pPr>
      <w:r>
        <w:t xml:space="preserve">JavaScript developers cannot reliably consume SQS messages due to missing polling functionality in the AWS SDK for JavaScript v3. Manual polling loops fail silently, causing production outages and customer escalations. The BBC escalated a production-blocking issue, describing how "queues literally die and stop sending messages."</w:t>
      </w:r>
    </w:p>
    <w:p>
      <w:pPr>
        <w:pStyle w:val="BodyText"/>
      </w:pPr>
      <w:r>
        <w:t xml:space="preserve">We identified the top 100 JavaScript SDK customers with SFDC IDs who would benefit from this feature. Our analysis projects 7.3 billion additional Receive Message requests post-deployment, representing $2.92M in increased billing for standard queues in US-East-1 at the 1M-100B requests/month tier.</w:t>
      </w:r>
    </w:p>
    <w:p>
      <w:pPr>
        <w:pStyle w:val="BodyText"/>
      </w:pPr>
      <w:r>
        <w:t xml:space="preserve">The solution is an official Poller class for JavaScript SDK v3, which will be maintained by the SDK team post-merge. This project demonstrates our model: high customer impact, clear revenue justification, service team partnership, and a clean handover plan.</w:t>
      </w:r>
    </w:p>
    <w:p>
      <w:pPr>
        <w:pStyle w:val="BodyText"/>
      </w:pPr>
      <w:r>
        <w:rPr>
          <w:b/>
          <w:bCs/>
        </w:rPr>
        <w:t xml:space="preserve">Links:</w:t>
      </w:r>
    </w:p>
    <w:p>
      <w:pPr>
        <w:pStyle w:val="Compact"/>
        <w:numPr>
          <w:ilvl w:val="0"/>
          <w:numId w:val="1007"/>
        </w:numPr>
      </w:pPr>
      <w:r>
        <w:t xml:space="preserve">GitHub Repo:</w:t>
      </w:r>
      <w:r>
        <w:t xml:space="preserve"> </w:t>
      </w:r>
      <w:hyperlink r:id="rId39">
        <w:hyperlink r:id="rId39">
          <w:r>
            <w:rPr>
              <w:rStyle w:val="Hyperlink"/>
            </w:rPr>
            <w:t xml:space="preserve">https://github.com/aws/aws-sdk-js-v3</w:t>
          </w:r>
        </w:hyperlink>
      </w:hyperlink>
    </w:p>
    <w:p>
      <w:pPr>
        <w:pStyle w:val="Compact"/>
        <w:numPr>
          <w:ilvl w:val="0"/>
          <w:numId w:val="1007"/>
        </w:numPr>
      </w:pPr>
      <w:r>
        <w:t xml:space="preserve">Issue:</w:t>
      </w:r>
      <w:r>
        <w:t xml:space="preserve"> </w:t>
      </w:r>
      <w:hyperlink r:id="rId44">
        <w:r>
          <w:rPr>
            <w:rStyle w:val="Hyperlink"/>
          </w:rPr>
          <w:t xml:space="preserve">#6015</w:t>
        </w:r>
      </w:hyperlink>
    </w:p>
    <w:p>
      <w:r>
        <w:pict>
          <v:rect style="width:0;height:1.5pt" o:hralign="center" o:hrstd="t" o:hr="t"/>
        </w:pict>
      </w:r>
    </w:p>
    <w:p>
      <w:pPr>
        <w:pStyle w:val="FirstParagraph"/>
      </w:pPr>
      <w:r>
        <w:rPr>
          <w:i/>
          <w:iCs/>
        </w:rPr>
        <w:t xml:space="preserve">January 2026 — Voice of the Customer Engineering (VOCE)</w:t>
      </w:r>
    </w:p>
    <w:p>
      <w:pPr>
        <w:pStyle w:val="BodyText"/>
      </w:pPr>
      <w:r>
        <w:rPr>
          <w:i/>
          <w:iCs/>
        </w:rPr>
        <w:t xml:space="preserve">Amazon Confidential</w:t>
      </w:r>
    </w:p>
    <w:bookmarkEnd w:id="80"/>
    <w:bookmarkEnd w:id="81"/>
    <w:bookmarkEnd w:id="82"/>
    <w:sectPr w:rsidR="00996171">
      <w:footnotePr>
        <w:numRestart w:val="eachSect"/>
      </w:footnotePr>
      <w:pgSz w:h="15840" w:orient="portrait" w:w="13824"/>
      <w:pgMar w:bottom="720" w:footer="720" w:gutter="0" w:header="720" w:left="720" w:right="720" w:top="7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FFFFFF"/>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AC28FF6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00A992"/>
    <w:multiLevelType w:val="multilevel"/>
    <w:tmpl w:val="D43CA632"/>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3">
    <w:nsid w:val="0000A993"/>
    <w:multiLevelType w:val="multilevel"/>
    <w:tmpl w:val="853E3E74"/>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4">
    <w:nsid w:val="00A99411"/>
    <w:multiLevelType w:val="multilevel"/>
    <w:tmpl w:val="F01043B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74413956" w:numId="1">
    <w:abstractNumId w:val="1"/>
  </w:num>
  <w:num w16cid:durableId="490291606" w:numId="2">
    <w:abstractNumId w:val="1"/>
  </w:num>
  <w:num w16cid:durableId="516577493" w:numId="3">
    <w:abstractNumId w:val="1"/>
  </w:num>
  <w:num w16cid:durableId="1115250606"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0426640"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0676143" w:numId="6">
    <w:abstractNumId w:val="1"/>
  </w:num>
  <w:num w16cid:durableId="718944244" w:numId="7">
    <w:abstractNumId w:val="3"/>
  </w:num>
  <w:num w16cid:durableId="1235042494" w:numId="8">
    <w:abstractNumId w:val="2"/>
  </w:num>
  <w:num w16cid:durableId="626011486" w:numId="9">
    <w:abstractNumId w:val="3"/>
  </w:num>
  <w:num w16cid:durableId="453982416" w:numId="10">
    <w:abstractNumId w:val="0"/>
  </w:num>
  <w:num w16cid:durableId="548568920" w:numId="11">
    <w:abstractNumId w:val="1"/>
  </w:num>
  <w:num w16cid:durableId="1875731740" w:numId="12">
    <w:abstractNumId w:val="1"/>
  </w:num>
  <w:num w16cid:durableId="952134788" w:numId="13">
    <w:abstractNumId w:val="1"/>
  </w:num>
  <w:num w16cid:durableId="1924028993"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04353480"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65069301" w:numId="16">
    <w:abstractNumId w:val="1"/>
  </w:num>
  <w:num w16cid:durableId="471794336" w:numId="17">
    <w:abstractNumId w:val="3"/>
  </w:num>
  <w:num w16cid:durableId="65809922" w:numId="18">
    <w:abstractNumId w:val="2"/>
  </w:num>
  <w:num w16cid:durableId="1357730919" w:numId="19">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00"/>
  <w:embedSystemFonts/>
  <w:proofState w:grammar="dirty"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554"/>
    <w:rsid w:val="00051122"/>
    <w:rsid w:val="00064C59"/>
    <w:rsid w:val="000852BD"/>
    <w:rsid w:val="000A7D57"/>
    <w:rsid w:val="000C7554"/>
    <w:rsid w:val="000F239F"/>
    <w:rsid w:val="000F6290"/>
    <w:rsid w:val="00110FE7"/>
    <w:rsid w:val="00150D2B"/>
    <w:rsid w:val="001F45D6"/>
    <w:rsid w:val="00256A5A"/>
    <w:rsid w:val="003205CB"/>
    <w:rsid w:val="00323FBE"/>
    <w:rsid w:val="00337B99"/>
    <w:rsid w:val="00351A8E"/>
    <w:rsid w:val="0037067C"/>
    <w:rsid w:val="0037380B"/>
    <w:rsid w:val="003946A7"/>
    <w:rsid w:val="003C477B"/>
    <w:rsid w:val="003C63AD"/>
    <w:rsid w:val="003D6B9F"/>
    <w:rsid w:val="003F5277"/>
    <w:rsid w:val="0040139D"/>
    <w:rsid w:val="00421420"/>
    <w:rsid w:val="00435BDA"/>
    <w:rsid w:val="004907DF"/>
    <w:rsid w:val="004C3A0D"/>
    <w:rsid w:val="00573F52"/>
    <w:rsid w:val="006344D0"/>
    <w:rsid w:val="006354B8"/>
    <w:rsid w:val="00676F16"/>
    <w:rsid w:val="006A7244"/>
    <w:rsid w:val="006D39DC"/>
    <w:rsid w:val="00733CB7"/>
    <w:rsid w:val="007C04AC"/>
    <w:rsid w:val="007F3598"/>
    <w:rsid w:val="00874DFF"/>
    <w:rsid w:val="00876D0A"/>
    <w:rsid w:val="008A672E"/>
    <w:rsid w:val="008C22A9"/>
    <w:rsid w:val="008F2B35"/>
    <w:rsid w:val="00976CAD"/>
    <w:rsid w:val="00996171"/>
    <w:rsid w:val="009E1681"/>
    <w:rsid w:val="00A41C49"/>
    <w:rsid w:val="00AA3A86"/>
    <w:rsid w:val="00AA3E3F"/>
    <w:rsid w:val="00AF56FD"/>
    <w:rsid w:val="00B50598"/>
    <w:rsid w:val="00BC000E"/>
    <w:rsid w:val="00BC65D0"/>
    <w:rsid w:val="00C17AB2"/>
    <w:rsid w:val="00C64666"/>
    <w:rsid w:val="00CB693C"/>
    <w:rsid w:val="00CE3F71"/>
    <w:rsid w:val="00D0381B"/>
    <w:rsid w:val="00D360C8"/>
    <w:rsid w:val="00D85E3D"/>
    <w:rsid w:val="00E136CF"/>
    <w:rsid w:val="00F005BB"/>
    <w:rsid w:val="00F01483"/>
    <w:rsid w:val="00F122F8"/>
    <w:rsid w:val="00FB09F8"/>
    <w:rsid w:val="0BD1BD6C"/>
    <w:rsid w:val="3484D7A6"/>
    <w:rsid w:val="5B5FB69A"/>
    <w:rsid w:val="6DCBF5CF"/>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8"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32"/>
        <w:szCs w:val="32"/>
        <w:lang w:bidi="ar-SA" w:eastAsia="en-US" w:val="en-US"/>
      </w:rPr>
    </w:rPrDefault>
    <w:pPrDefault>
      <w:pPr>
        <w:spacing w:after="12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3A86"/>
    <w:pPr>
      <w:snapToGrid w:val="0"/>
    </w:pPr>
    <w:rPr>
      <w:color w:val="24292F"/>
      <w:sz w:val="28"/>
    </w:rPr>
  </w:style>
  <w:style w:styleId="Heading1" w:type="paragraph">
    <w:name w:val="heading 1"/>
    <w:basedOn w:val="Normal"/>
    <w:next w:val="Normal"/>
    <w:link w:val="Heading1Char"/>
    <w:uiPriority w:val="9"/>
    <w:qFormat/>
    <w:rsid w:val="004907DF"/>
    <w:pPr>
      <w:keepNext/>
      <w:pBdr>
        <w:bottom w:color="D0D7DE" w:space="4" w:sz="12" w:val="single"/>
      </w:pBdr>
      <w:spacing w:after="180" w:before="180"/>
      <w:outlineLvl w:val="0"/>
    </w:pPr>
    <w:rPr>
      <w:b/>
      <w:sz w:val="64"/>
    </w:rPr>
  </w:style>
  <w:style w:styleId="Heading2" w:type="paragraph">
    <w:name w:val="heading 2"/>
    <w:basedOn w:val="Normal"/>
    <w:next w:val="Normal"/>
    <w:link w:val="Heading2Char"/>
    <w:uiPriority w:val="9"/>
    <w:qFormat/>
    <w:rsid w:val="00BC65D0"/>
    <w:pPr>
      <w:keepNext/>
      <w:pBdr>
        <w:bottom w:color="D0D7DE" w:space="6" w:sz="12" w:val="single"/>
      </w:pBdr>
      <w:spacing w:after="180" w:before="180"/>
      <w:outlineLvl w:val="1"/>
    </w:pPr>
    <w:rPr>
      <w:b/>
      <w:sz w:val="48"/>
    </w:rPr>
  </w:style>
  <w:style w:styleId="Heading3" w:type="paragraph">
    <w:name w:val="heading 3"/>
    <w:basedOn w:val="Normal"/>
    <w:next w:val="Normal"/>
    <w:link w:val="Heading3Char"/>
    <w:uiPriority w:val="9"/>
    <w:qFormat/>
    <w:pPr>
      <w:keepNext/>
      <w:spacing w:before="180"/>
      <w:outlineLvl w:val="2"/>
    </w:pPr>
    <w:rPr>
      <w:b/>
      <w:sz w:val="40"/>
    </w:rPr>
  </w:style>
  <w:style w:styleId="Heading4" w:type="paragraph">
    <w:name w:val="heading 4"/>
    <w:basedOn w:val="Normal"/>
    <w:next w:val="Normal"/>
    <w:link w:val="Heading4Char"/>
    <w:uiPriority w:val="9"/>
    <w:qFormat/>
    <w:pPr>
      <w:keepNext/>
      <w:spacing w:before="180"/>
      <w:outlineLvl w:val="3"/>
    </w:pPr>
    <w:rPr>
      <w:b/>
    </w:rPr>
  </w:style>
  <w:style w:styleId="Heading5" w:type="paragraph">
    <w:name w:val="heading 5"/>
    <w:basedOn w:val="Normal"/>
    <w:next w:val="Normal"/>
    <w:link w:val="Heading5Char"/>
    <w:uiPriority w:val="9"/>
    <w:qFormat/>
    <w:pPr>
      <w:keepNext/>
      <w:spacing w:before="180"/>
      <w:outlineLvl w:val="4"/>
    </w:pPr>
    <w:rPr>
      <w:b/>
      <w:sz w:val="25"/>
    </w:rPr>
  </w:style>
  <w:style w:styleId="Heading6" w:type="paragraph">
    <w:name w:val="heading 6"/>
    <w:basedOn w:val="Normal"/>
    <w:next w:val="Normal"/>
    <w:link w:val="Heading6Char"/>
    <w:uiPriority w:val="9"/>
    <w:qFormat/>
    <w:pPr>
      <w:keepNext/>
      <w:spacing w:before="180"/>
      <w:outlineLvl w:val="5"/>
    </w:pPr>
    <w:rPr>
      <w:b/>
      <w:color w:val="656D76"/>
      <w:sz w:val="24"/>
    </w:rPr>
  </w:style>
  <w:style w:styleId="Heading7" w:type="paragraph">
    <w:name w:val="heading 7"/>
    <w:basedOn w:val="Normal"/>
    <w:next w:val="Normal"/>
    <w:link w:val="Heading7Char"/>
    <w:rsid w:val="00D85E3D"/>
    <w:pPr>
      <w:keepNext/>
      <w:keepLines/>
      <w:spacing w:before="40"/>
      <w:outlineLvl w:val="6"/>
    </w:pPr>
    <w:rPr>
      <w:rFonts w:asciiTheme="majorHAnsi" w:cstheme="majorBidi" w:eastAsiaTheme="majorEastAsia" w:hAnsiTheme="majorHAnsi"/>
      <w:i/>
      <w:iCs/>
      <w:color w:themeColor="accent1" w:themeShade="7F" w:val="0A2F40"/>
    </w:rPr>
  </w:style>
  <w:style w:styleId="Heading8" w:type="paragraph">
    <w:name w:val="heading 8"/>
    <w:basedOn w:val="Normal"/>
    <w:next w:val="Normal"/>
    <w:link w:val="Heading8Char"/>
    <w:rsid w:val="00D85E3D"/>
    <w:pPr>
      <w:keepNext/>
      <w:keepLines/>
      <w:spacing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rsid w:val="00D85E3D"/>
    <w:pPr>
      <w:keepNext/>
      <w:keepLines/>
      <w:spacing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Compact" w:type="paragraph">
    <w:name w:val="Compact"/>
    <w:basedOn w:val="Normal"/>
    <w:qFormat/>
    <w:pPr>
      <w:spacing w:after="0"/>
    </w:pPr>
  </w:style>
  <w:style w:customStyle="1" w:styleId="Heading7Char" w:type="character">
    <w:name w:val="Heading 7 Char"/>
    <w:basedOn w:val="DefaultParagraphFont"/>
    <w:link w:val="Heading7"/>
    <w:rsid w:val="00D85E3D"/>
    <w:rPr>
      <w:rFonts w:asciiTheme="majorHAnsi" w:cstheme="majorBidi" w:eastAsiaTheme="majorEastAsia" w:hAnsiTheme="majorHAnsi"/>
      <w:i/>
      <w:iCs/>
      <w:color w:themeColor="accent1" w:themeShade="7F" w:val="0A2F40"/>
      <w:sz w:val="28"/>
    </w:rPr>
  </w:style>
  <w:style w:customStyle="1" w:styleId="Heading8Char" w:type="character">
    <w:name w:val="Heading 8 Char"/>
    <w:basedOn w:val="DefaultParagraphFont"/>
    <w:link w:val="Heading8"/>
    <w:rsid w:val="00D85E3D"/>
    <w:rPr>
      <w:rFonts w:asciiTheme="majorHAnsi" w:cstheme="majorBidi" w:eastAsiaTheme="majorEastAsia" w:hAnsiTheme="majorHAnsi"/>
      <w:color w:themeColor="text1" w:themeTint="D8" w:val="272727"/>
      <w:sz w:val="21"/>
      <w:szCs w:val="21"/>
    </w:rPr>
  </w:style>
  <w:style w:customStyle="1" w:styleId="SourceCodeChar" w:type="character">
    <w:name w:val="Source Code Char"/>
    <w:basedOn w:val="DefaultParagraphFont"/>
    <w:link w:val="SourceCode"/>
    <w:rsid w:val="006354B8"/>
    <w:rPr>
      <w:rFonts w:ascii="Consolas" w:hAnsi="Consolas"/>
      <w:noProof/>
      <w:color w:val="24292F"/>
      <w:sz w:val="24"/>
      <w:shd w:color="auto" w:fill="F8F8F8" w:val="clear"/>
    </w:rPr>
  </w:style>
  <w:style w:customStyle="1" w:styleId="VerbatimChar" w:type="character">
    <w:name w:val="Verbatim Char"/>
    <w:basedOn w:val="DefaultParagraphFont"/>
    <w:rPr>
      <w:rFonts w:ascii="Consolas" w:hAnsi="Consolas"/>
      <w:noProof/>
      <w:color w:val="333333"/>
      <w:sz w:val="24"/>
      <w:shd w:color="auto" w:fill="F8F8F8" w:val="clear"/>
    </w:rPr>
  </w:style>
  <w:style w:customStyle="1" w:styleId="InlineCode" w:type="character">
    <w:name w:val="Inline Code"/>
    <w:basedOn w:val="DefaultParagraphFont"/>
    <w:rPr>
      <w:rFonts w:ascii="Consolas" w:hAnsi="Consolas"/>
      <w:color w:val="D73A49"/>
      <w:sz w:val="24"/>
      <w:shd w:color="auto" w:fill="F6F8FA" w:val="clear"/>
    </w:rPr>
  </w:style>
  <w:style w:styleId="Hyperlink" w:type="character">
    <w:name w:val="Hyperlink"/>
    <w:basedOn w:val="DefaultParagraphFont"/>
    <w:rPr>
      <w:color w:val="0D69F2"/>
      <w:u w:val="single"/>
    </w:rPr>
  </w:style>
  <w:style w:styleId="Quote" w:type="paragraph">
    <w:name w:val="Quote"/>
    <w:basedOn w:val="Normal"/>
    <w:qFormat/>
    <w:pPr>
      <w:pBdr>
        <w:left w:color="D1D9E0" w:space="12" w:sz="12" w:val="single"/>
      </w:pBdr>
      <w:spacing w:after="65456" w:before="160"/>
      <w:ind w:left="720"/>
    </w:pPr>
    <w:rPr>
      <w:color w:val="656D76"/>
    </w:rPr>
  </w:style>
  <w:style w:styleId="BlockText" w:type="paragraph">
    <w:name w:val="Block Text"/>
    <w:basedOn w:val="Normal"/>
    <w:qFormat/>
    <w:pPr>
      <w:pBdr>
        <w:left w:color="D1D9E0" w:space="12" w:sz="12" w:val="single"/>
      </w:pBdr>
      <w:spacing w:after="160" w:before="160"/>
      <w:ind w:left="720"/>
    </w:pPr>
    <w:rPr>
      <w:color w:val="656D76"/>
    </w:rPr>
  </w:style>
  <w:style w:customStyle="1" w:styleId="Heading1Char" w:type="character">
    <w:name w:val="Heading 1 Char"/>
    <w:basedOn w:val="DefaultParagraphFont"/>
    <w:link w:val="Heading1"/>
    <w:uiPriority w:val="9"/>
    <w:rsid w:val="004907DF"/>
    <w:rPr>
      <w:b/>
      <w:color w:val="24292F"/>
      <w:sz w:val="64"/>
    </w:rPr>
  </w:style>
  <w:style w:customStyle="1" w:styleId="Heading2Char" w:type="character">
    <w:name w:val="Heading 2 Char"/>
    <w:basedOn w:val="DefaultParagraphFont"/>
    <w:link w:val="Heading2"/>
    <w:uiPriority w:val="9"/>
    <w:rsid w:val="00BC65D0"/>
    <w:rPr>
      <w:b/>
      <w:color w:val="24292F"/>
      <w:sz w:val="48"/>
    </w:rPr>
  </w:style>
  <w:style w:customStyle="1" w:styleId="Heading3Char" w:type="character">
    <w:name w:val="Heading 3 Char"/>
    <w:basedOn w:val="DefaultParagraphFont"/>
    <w:link w:val="Heading3"/>
    <w:uiPriority w:val="9"/>
    <w:rPr>
      <w:rFonts w:ascii="Calibri" w:hAnsi="Calibri"/>
      <w:b/>
      <w:color w:val="24292F"/>
      <w:sz w:val="40"/>
    </w:rPr>
  </w:style>
  <w:style w:customStyle="1" w:styleId="Heading4Char" w:type="character">
    <w:name w:val="Heading 4 Char"/>
    <w:basedOn w:val="DefaultParagraphFont"/>
    <w:link w:val="Heading4"/>
    <w:uiPriority w:val="9"/>
    <w:rPr>
      <w:rFonts w:ascii="Calibri" w:hAnsi="Calibri"/>
      <w:b/>
      <w:color w:val="24292F"/>
      <w:sz w:val="32"/>
    </w:rPr>
  </w:style>
  <w:style w:customStyle="1" w:styleId="Heading5Char" w:type="character">
    <w:name w:val="Heading 5 Char"/>
    <w:basedOn w:val="DefaultParagraphFont"/>
    <w:link w:val="Heading5"/>
    <w:uiPriority w:val="9"/>
    <w:rPr>
      <w:rFonts w:ascii="Calibri" w:hAnsi="Calibri"/>
      <w:b/>
      <w:color w:val="24292F"/>
      <w:sz w:val="32"/>
    </w:rPr>
  </w:style>
  <w:style w:customStyle="1" w:styleId="Heading6Char" w:type="character">
    <w:name w:val="Heading 6 Char"/>
    <w:basedOn w:val="DefaultParagraphFont"/>
    <w:link w:val="Heading6"/>
    <w:uiPriority w:val="9"/>
    <w:rPr>
      <w:rFonts w:ascii="Calibri" w:hAnsi="Calibri"/>
      <w:b/>
      <w:color w:val="656D76"/>
      <w:sz w:val="26"/>
    </w:rPr>
  </w:style>
  <w:style w:customStyle="1" w:styleId="BuiltInTok" w:type="character">
    <w:name w:val="BuiltInTok"/>
    <w:basedOn w:val="SourceCodeChar"/>
    <w:rPr>
      <w:rFonts w:ascii="Consolas" w:hAnsi="Consolas"/>
      <w:noProof/>
      <w:color w:val="005CC5"/>
      <w:sz w:val="24"/>
      <w:shd w:color="auto" w:fill="F8F8F8" w:val="clear"/>
    </w:rPr>
  </w:style>
  <w:style w:customStyle="1" w:styleId="OperatorTok" w:type="character">
    <w:name w:val="OperatorTok"/>
    <w:basedOn w:val="SourceCodeChar"/>
    <w:rPr>
      <w:rFonts w:ascii="Consolas" w:hAnsi="Consolas"/>
      <w:noProof/>
      <w:color w:val="D73A49"/>
      <w:sz w:val="24"/>
      <w:shd w:color="auto" w:fill="F8F8F8" w:val="clear"/>
    </w:rPr>
  </w:style>
  <w:style w:customStyle="1" w:styleId="ControlFlowTok" w:type="character">
    <w:name w:val="ControlFlowTok"/>
    <w:basedOn w:val="SourceCodeChar"/>
    <w:rPr>
      <w:rFonts w:ascii="Consolas" w:hAnsi="Consolas"/>
      <w:b/>
      <w:noProof/>
      <w:color w:val="D73A49"/>
      <w:sz w:val="24"/>
      <w:shd w:color="auto" w:fill="F8F8F8" w:val="clear"/>
    </w:rPr>
  </w:style>
  <w:style w:customStyle="1" w:styleId="VerbatimStringTok" w:type="character">
    <w:name w:val="VerbatimStringTok"/>
    <w:basedOn w:val="SourceCodeChar"/>
    <w:rPr>
      <w:rFonts w:ascii="Consolas" w:hAnsi="Consolas"/>
      <w:noProof/>
      <w:color w:val="032F62"/>
      <w:sz w:val="24"/>
      <w:shd w:color="auto" w:fill="F8F8F8" w:val="clear"/>
    </w:rPr>
  </w:style>
  <w:style w:customStyle="1" w:styleId="SpecialCharTok" w:type="character">
    <w:name w:val="SpecialCharTok"/>
    <w:basedOn w:val="SourceCodeChar"/>
    <w:rPr>
      <w:rFonts w:ascii="Consolas" w:hAnsi="Consolas"/>
      <w:b/>
      <w:noProof/>
      <w:color w:val="E36209"/>
      <w:sz w:val="24"/>
      <w:shd w:color="auto" w:fill="F8F8F8" w:val="clear"/>
    </w:rPr>
  </w:style>
  <w:style w:customStyle="1" w:styleId="SpecialStringTok" w:type="character">
    <w:name w:val="SpecialStringTok"/>
    <w:basedOn w:val="SourceCodeChar"/>
    <w:rPr>
      <w:rFonts w:ascii="Consolas" w:hAnsi="Consolas"/>
      <w:noProof/>
      <w:color w:val="032F62"/>
      <w:sz w:val="24"/>
      <w:shd w:color="auto" w:fill="F8F8F8" w:val="clear"/>
    </w:rPr>
  </w:style>
  <w:style w:customStyle="1" w:styleId="KeywordTok" w:type="character">
    <w:name w:val="KeywordTok"/>
    <w:basedOn w:val="SourceCodeChar"/>
    <w:rPr>
      <w:rFonts w:ascii="Consolas" w:hAnsi="Consolas"/>
      <w:b/>
      <w:noProof/>
      <w:color w:val="D73A49"/>
      <w:sz w:val="24"/>
      <w:shd w:color="auto" w:fill="F8F8F8" w:val="clear"/>
    </w:rPr>
  </w:style>
  <w:style w:customStyle="1" w:styleId="StringTok" w:type="character">
    <w:name w:val="StringTok"/>
    <w:basedOn w:val="SourceCodeChar"/>
    <w:rPr>
      <w:rFonts w:ascii="Consolas" w:hAnsi="Consolas"/>
      <w:noProof/>
      <w:color w:val="032F62"/>
      <w:sz w:val="24"/>
      <w:shd w:color="auto" w:fill="F8F8F8" w:val="clear"/>
    </w:rPr>
  </w:style>
  <w:style w:customStyle="1" w:styleId="CommentTok" w:type="character">
    <w:name w:val="CommentTok"/>
    <w:basedOn w:val="SourceCodeChar"/>
    <w:rPr>
      <w:rFonts w:ascii="Consolas" w:hAnsi="Consolas"/>
      <w:i/>
      <w:noProof/>
      <w:color w:val="6A737D"/>
      <w:sz w:val="24"/>
      <w:shd w:color="auto" w:fill="F8F8F8" w:val="clear"/>
    </w:rPr>
  </w:style>
  <w:style w:customStyle="1" w:styleId="FunctionTok" w:type="character">
    <w:name w:val="FunctionTok"/>
    <w:basedOn w:val="SourceCodeChar"/>
    <w:rPr>
      <w:rFonts w:ascii="Consolas" w:hAnsi="Consolas"/>
      <w:b/>
      <w:noProof/>
      <w:color w:val="6F42C1"/>
      <w:sz w:val="24"/>
      <w:shd w:color="auto" w:fill="F8F8F8" w:val="clear"/>
    </w:rPr>
  </w:style>
  <w:style w:customStyle="1" w:styleId="NormalTok" w:type="character">
    <w:name w:val="NormalTok"/>
    <w:basedOn w:val="SourceCodeChar"/>
    <w:rPr>
      <w:rFonts w:ascii="Consolas" w:hAnsi="Consolas"/>
      <w:noProof/>
      <w:color w:val="24292F"/>
      <w:sz w:val="24"/>
      <w:shd w:color="auto" w:fill="F8F8F8" w:val="clear"/>
    </w:rPr>
  </w:style>
  <w:style w:customStyle="1" w:styleId="ImportTok" w:type="character">
    <w:name w:val="ImportTok"/>
    <w:basedOn w:val="SourceCodeChar"/>
    <w:rPr>
      <w:rFonts w:ascii="Consolas" w:hAnsi="Consolas"/>
      <w:noProof/>
      <w:color w:val="D73A49"/>
      <w:sz w:val="24"/>
      <w:shd w:color="auto" w:fill="F8F8F8" w:val="clear"/>
    </w:rPr>
  </w:style>
  <w:style w:customStyle="1" w:styleId="DecValTok" w:type="character">
    <w:name w:val="DecValTok"/>
    <w:basedOn w:val="SourceCodeChar"/>
    <w:rPr>
      <w:rFonts w:ascii="Consolas" w:hAnsi="Consolas"/>
      <w:noProof/>
      <w:color w:val="005CC5"/>
      <w:sz w:val="24"/>
      <w:shd w:color="auto" w:fill="F8F8F8" w:val="clear"/>
    </w:rPr>
  </w:style>
  <w:style w:customStyle="1" w:styleId="VariableTok" w:type="character">
    <w:name w:val="VariableTok"/>
    <w:basedOn w:val="SourceCodeChar"/>
    <w:rPr>
      <w:rFonts w:ascii="Consolas" w:hAnsi="Consolas"/>
      <w:noProof/>
      <w:color w:val="E36209"/>
      <w:sz w:val="24"/>
      <w:shd w:color="auto" w:fill="F8F8F8" w:val="clear"/>
    </w:rPr>
  </w:style>
  <w:style w:customStyle="1" w:styleId="BlockQuote" w:type="paragraph">
    <w:name w:val="Block Quote"/>
    <w:basedOn w:val="Quote"/>
  </w:style>
  <w:style w:customStyle="1" w:styleId="SourceCode" w:type="paragraph">
    <w:name w:val="Source Code"/>
    <w:basedOn w:val="Normal"/>
    <w:link w:val="SourceCodeChar"/>
    <w:autoRedefine/>
    <w:rsid w:val="006354B8"/>
    <w:pPr>
      <w:keepLines/>
      <w:pBdr>
        <w:top w:color="BFBFBF" w:space="4" w:sz="4" w:themeColor="background1" w:themeShade="BF" w:val="single"/>
        <w:left w:color="BFBFBF" w:space="5" w:sz="4" w:themeColor="background1" w:themeShade="BF" w:val="single"/>
        <w:bottom w:color="BFBFBF" w:space="4" w:sz="4" w:themeColor="background1" w:themeShade="BF" w:val="single"/>
        <w:right w:color="BFBFBF" w:space="5" w:sz="4" w:themeColor="background1" w:themeShade="BF" w:val="single"/>
      </w:pBdr>
      <w:shd w:color="auto" w:fill="F8F8F8" w:val="clear"/>
      <w:suppressAutoHyphens/>
      <w:wordWrap w:val="0"/>
      <w:spacing w:before="120"/>
    </w:pPr>
    <w:rPr>
      <w:rFonts w:ascii="Consolas" w:hAnsi="Consolas"/>
      <w:noProof/>
      <w:sz w:val="24"/>
    </w:rPr>
  </w:style>
  <w:style w:customStyle="1" w:styleId="DataTypeTok" w:type="character">
    <w:name w:val="DataTypeTok"/>
    <w:basedOn w:val="SourceCodeChar"/>
    <w:rPr>
      <w:rFonts w:ascii="Consolas" w:hAnsi="Consolas"/>
      <w:noProof/>
      <w:color w:val="204A87"/>
      <w:sz w:val="24"/>
      <w:shd w:color="auto" w:fill="F8F8F8" w:val="clear"/>
    </w:rPr>
  </w:style>
  <w:style w:customStyle="1" w:styleId="BaseNTok" w:type="character">
    <w:name w:val="BaseNTok"/>
    <w:basedOn w:val="SourceCodeChar"/>
    <w:rPr>
      <w:rFonts w:ascii="Consolas" w:hAnsi="Consolas"/>
      <w:noProof/>
      <w:color w:val="0000CF"/>
      <w:sz w:val="24"/>
      <w:shd w:color="auto" w:fill="F8F8F8" w:val="clear"/>
    </w:rPr>
  </w:style>
  <w:style w:customStyle="1" w:styleId="FloatTok" w:type="character">
    <w:name w:val="FloatTok"/>
    <w:basedOn w:val="SourceCodeChar"/>
    <w:rPr>
      <w:rFonts w:ascii="Consolas" w:hAnsi="Consolas"/>
      <w:noProof/>
      <w:color w:val="0000CF"/>
      <w:sz w:val="24"/>
      <w:shd w:color="auto" w:fill="F8F8F8" w:val="clear"/>
    </w:rPr>
  </w:style>
  <w:style w:customStyle="1" w:styleId="ConstantTok" w:type="character">
    <w:name w:val="ConstantTok"/>
    <w:basedOn w:val="SourceCodeChar"/>
    <w:rPr>
      <w:rFonts w:ascii="Consolas" w:hAnsi="Consolas"/>
      <w:noProof/>
      <w:color w:val="8F5902"/>
      <w:sz w:val="24"/>
      <w:shd w:color="auto" w:fill="F8F8F8" w:val="clear"/>
    </w:rPr>
  </w:style>
  <w:style w:customStyle="1" w:styleId="CharTok" w:type="character">
    <w:name w:val="CharTok"/>
    <w:basedOn w:val="SourceCodeChar"/>
    <w:rPr>
      <w:rFonts w:ascii="Consolas" w:hAnsi="Consolas"/>
      <w:noProof/>
      <w:color w:val="4E9A06"/>
      <w:sz w:val="24"/>
      <w:shd w:color="auto" w:fill="F8F8F8" w:val="clear"/>
    </w:rPr>
  </w:style>
  <w:style w:customStyle="1" w:styleId="DocumentationTok" w:type="character">
    <w:name w:val="DocumentationTok"/>
    <w:basedOn w:val="SourceCodeChar"/>
    <w:rPr>
      <w:rFonts w:ascii="Consolas" w:hAnsi="Consolas"/>
      <w:b/>
      <w:i/>
      <w:noProof/>
      <w:color w:val="8F5902"/>
      <w:sz w:val="24"/>
      <w:shd w:color="auto" w:fill="F8F8F8" w:val="clear"/>
    </w:rPr>
  </w:style>
  <w:style w:customStyle="1" w:styleId="AnnotationTok" w:type="character">
    <w:name w:val="AnnotationTok"/>
    <w:basedOn w:val="SourceCodeChar"/>
    <w:rPr>
      <w:rFonts w:ascii="Consolas" w:hAnsi="Consolas"/>
      <w:b/>
      <w:i/>
      <w:noProof/>
      <w:color w:val="8F5902"/>
      <w:sz w:val="24"/>
      <w:shd w:color="auto" w:fill="F8F8F8" w:val="clear"/>
    </w:rPr>
  </w:style>
  <w:style w:customStyle="1" w:styleId="CommentVarTok" w:type="character">
    <w:name w:val="CommentVarTok"/>
    <w:basedOn w:val="SourceCodeChar"/>
    <w:rPr>
      <w:rFonts w:ascii="Consolas" w:hAnsi="Consolas"/>
      <w:b/>
      <w:i/>
      <w:noProof/>
      <w:color w:val="8F5902"/>
      <w:sz w:val="24"/>
      <w:shd w:color="auto" w:fill="F8F8F8" w:val="clear"/>
    </w:rPr>
  </w:style>
  <w:style w:customStyle="1" w:styleId="OtherTok" w:type="character">
    <w:name w:val="OtherTok"/>
    <w:basedOn w:val="SourceCodeChar"/>
    <w:rPr>
      <w:rFonts w:ascii="Consolas" w:hAnsi="Consolas"/>
      <w:noProof/>
      <w:color w:val="8F5902"/>
      <w:sz w:val="24"/>
      <w:shd w:color="auto" w:fill="F8F8F8" w:val="clear"/>
    </w:rPr>
  </w:style>
  <w:style w:customStyle="1" w:styleId="ExtensionTok" w:type="character">
    <w:name w:val="ExtensionTok"/>
    <w:basedOn w:val="SourceCodeChar"/>
    <w:rPr>
      <w:rFonts w:ascii="Consolas" w:hAnsi="Consolas"/>
      <w:noProof/>
      <w:color w:val="24292F"/>
      <w:sz w:val="24"/>
      <w:shd w:color="auto" w:fill="F8F8F8" w:val="clear"/>
    </w:rPr>
  </w:style>
  <w:style w:customStyle="1" w:styleId="PreprocessorTok" w:type="character">
    <w:name w:val="PreprocessorTok"/>
    <w:basedOn w:val="SourceCodeChar"/>
    <w:rPr>
      <w:rFonts w:ascii="Consolas" w:hAnsi="Consolas"/>
      <w:i/>
      <w:noProof/>
      <w:color w:val="8F5902"/>
      <w:sz w:val="24"/>
      <w:shd w:color="auto" w:fill="F8F8F8" w:val="clear"/>
    </w:rPr>
  </w:style>
  <w:style w:customStyle="1" w:styleId="AttributeTok" w:type="character">
    <w:name w:val="AttributeTok"/>
    <w:basedOn w:val="SourceCodeChar"/>
    <w:rPr>
      <w:rFonts w:ascii="Consolas" w:hAnsi="Consolas"/>
      <w:noProof/>
      <w:color w:val="204A87"/>
      <w:sz w:val="24"/>
      <w:shd w:color="auto" w:fill="F8F8F8" w:val="clear"/>
    </w:rPr>
  </w:style>
  <w:style w:customStyle="1" w:styleId="RegionMarkerTok" w:type="character">
    <w:name w:val="RegionMarkerTok"/>
    <w:basedOn w:val="SourceCodeChar"/>
    <w:rPr>
      <w:rFonts w:ascii="Consolas" w:hAnsi="Consolas"/>
      <w:noProof/>
      <w:color w:val="24292F"/>
      <w:sz w:val="24"/>
      <w:shd w:color="auto" w:fill="F8F8F8" w:val="clear"/>
    </w:rPr>
  </w:style>
  <w:style w:customStyle="1" w:styleId="InformationTok" w:type="character">
    <w:name w:val="InformationTok"/>
    <w:basedOn w:val="SourceCodeChar"/>
    <w:rPr>
      <w:rFonts w:ascii="Consolas" w:hAnsi="Consolas"/>
      <w:b/>
      <w:i/>
      <w:noProof/>
      <w:color w:val="8F5902"/>
      <w:sz w:val="24"/>
      <w:shd w:color="auto" w:fill="F8F8F8" w:val="clear"/>
    </w:rPr>
  </w:style>
  <w:style w:customStyle="1" w:styleId="WarningTok" w:type="character">
    <w:name w:val="WarningTok"/>
    <w:basedOn w:val="SourceCodeChar"/>
    <w:rPr>
      <w:rFonts w:ascii="Consolas" w:hAnsi="Consolas"/>
      <w:b/>
      <w:i/>
      <w:noProof/>
      <w:color w:val="8F5902"/>
      <w:sz w:val="24"/>
      <w:shd w:color="auto" w:fill="F8F8F8" w:val="clear"/>
    </w:rPr>
  </w:style>
  <w:style w:customStyle="1" w:styleId="AlertTok" w:type="character">
    <w:name w:val="AlertTok"/>
    <w:basedOn w:val="SourceCodeChar"/>
    <w:rPr>
      <w:rFonts w:ascii="Consolas" w:hAnsi="Consolas"/>
      <w:noProof/>
      <w:color w:val="EF2929"/>
      <w:sz w:val="24"/>
      <w:shd w:color="auto" w:fill="F8F8F8" w:val="clear"/>
    </w:rPr>
  </w:style>
  <w:style w:customStyle="1" w:styleId="ErrorTok" w:type="character">
    <w:name w:val="ErrorTok"/>
    <w:basedOn w:val="SourceCodeChar"/>
    <w:rPr>
      <w:rFonts w:ascii="Consolas" w:hAnsi="Consolas"/>
      <w:b/>
      <w:noProof/>
      <w:color w:val="A40000"/>
      <w:sz w:val="24"/>
      <w:shd w:color="auto" w:fill="F8F8F8" w:val="clear"/>
    </w:rPr>
  </w:style>
  <w:style w:styleId="PlainTable1" w:type="table">
    <w:name w:val="Plain Table 1"/>
    <w:basedOn w:val="TableNormal"/>
    <w:rsid w:val="0037067C"/>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rsid w:val="0037067C"/>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 w:type="table">
    <w:name w:val="Table"/>
    <w:basedOn w:val="TableNormal"/>
    <w:uiPriority w:val="39"/>
    <w:qFormat/>
    <w:tblPr>
      <w:tblBorders>
        <w:top w:color="D1D9E0" w:space="0" w:sz="8" w:val="single"/>
        <w:left w:color="D1D9E0" w:space="0" w:sz="8" w:val="single"/>
        <w:bottom w:color="D1D9E0" w:space="0" w:sz="8" w:val="single"/>
        <w:right w:color="D1D9E0" w:space="0" w:sz="8" w:val="single"/>
        <w:insideH w:color="D1D9E0" w:space="0" w:sz="8" w:val="single"/>
        <w:insideV w:color="D1D9E0" w:space="0" w:sz="8" w:val="single"/>
      </w:tblBorders>
      <w:tblCellMar>
        <w:top w:type="dxa" w:w="90"/>
        <w:left w:type="dxa" w:w="195"/>
        <w:bottom w:type="dxa" w:w="60"/>
        <w:right w:type="dxa" w:w="195"/>
      </w:tblCellMar>
    </w:tblPr>
    <w:tblStylePr w:type="firstRow">
      <w:rPr>
        <w:b/>
      </w:rPr>
      <w:tblPr/>
      <w:tcPr>
        <w:shd w:color="auto" w:fill="FFFFFF" w:val="clear"/>
      </w:tcPr>
    </w:tblStylePr>
    <w:tblStylePr w:type="band1Horz">
      <w:tblPr/>
      <w:tcPr>
        <w:shd w:color="auto" w:fill="F6F8FA" w:val="clear"/>
      </w:tcPr>
    </w:tblStylePr>
  </w:style>
  <w:style w:customStyle="1" w:styleId="Heading9Char" w:type="character">
    <w:name w:val="Heading 9 Char"/>
    <w:basedOn w:val="DefaultParagraphFont"/>
    <w:link w:val="Heading9"/>
    <w:rsid w:val="00D85E3D"/>
    <w:rPr>
      <w:rFonts w:asciiTheme="majorHAnsi" w:cstheme="majorBidi" w:eastAsiaTheme="majorEastAsia" w:hAnsiTheme="majorHAnsi"/>
      <w:i/>
      <w:iCs/>
      <w:color w:themeColor="text1" w:themeTint="D8" w:val="27272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media/image1.png" Type="http://schemas.openxmlformats.org/officeDocument/2006/relationships/image" /><Relationship Type="http://schemas.openxmlformats.org/officeDocument/2006/relationships/hyperlink" Id="rId42" Target="https://github.com/amazon-connect" TargetMode="External" /><Relationship Type="http://schemas.openxmlformats.org/officeDocument/2006/relationships/hyperlink" Id="rId51" Target="https://github.com/amazon-connect/amazon-connect-streams/issues/187" TargetMode="External" /><Relationship Type="http://schemas.openxmlformats.org/officeDocument/2006/relationships/hyperlink" Id="rId70" Target="https://github.com/aws" TargetMode="External" /><Relationship Type="http://schemas.openxmlformats.org/officeDocument/2006/relationships/hyperlink" Id="rId74" Target="https://github.com/aws-actions" TargetMode="External" /><Relationship Type="http://schemas.openxmlformats.org/officeDocument/2006/relationships/hyperlink" Id="rId41" Target="https://github.com/aws-amplify" TargetMode="External" /><Relationship Type="http://schemas.openxmlformats.org/officeDocument/2006/relationships/hyperlink" Id="rId49" Target="https://github.com/aws-amplify/amplify-ui/issues/1152" TargetMode="External" /><Relationship Type="http://schemas.openxmlformats.org/officeDocument/2006/relationships/hyperlink" Id="rId48" Target="https://github.com/aws-amplify/amplify-ui/issues/4398" TargetMode="External" /><Relationship Type="http://schemas.openxmlformats.org/officeDocument/2006/relationships/hyperlink" Id="rId54" Target="https://github.com/aws-amplify/amplify-ui/issues/6204" TargetMode="External" /><Relationship Type="http://schemas.openxmlformats.org/officeDocument/2006/relationships/hyperlink" Id="rId53" Target="https://github.com/aws-amplify/amplify-ui/issues/6570" TargetMode="External" /><Relationship Type="http://schemas.openxmlformats.org/officeDocument/2006/relationships/hyperlink" Id="rId72" Target="https://github.com/aws-ia" TargetMode="External" /><Relationship Type="http://schemas.openxmlformats.org/officeDocument/2006/relationships/hyperlink" Id="rId69" Target="https://github.com/aws-samples" TargetMode="External" /><Relationship Type="http://schemas.openxmlformats.org/officeDocument/2006/relationships/hyperlink" Id="rId76" Target="https://github.com/aws-solutions" TargetMode="External" /><Relationship Type="http://schemas.openxmlformats.org/officeDocument/2006/relationships/hyperlink" Id="rId75" Target="https://github.com/aws-solutions-library-samples" TargetMode="External" /><Relationship Type="http://schemas.openxmlformats.org/officeDocument/2006/relationships/hyperlink" Id="rId40" Target="https://github.com/aws/aws-cdk" TargetMode="External" /><Relationship Type="http://schemas.openxmlformats.org/officeDocument/2006/relationships/hyperlink" Id="rId46" Target="https://github.com/aws/aws-cdk-rfcs/issues/72" TargetMode="External" /><Relationship Type="http://schemas.openxmlformats.org/officeDocument/2006/relationships/hyperlink" Id="rId37" Target="https://github.com/aws/aws-cli" TargetMode="External" /><Relationship Type="http://schemas.openxmlformats.org/officeDocument/2006/relationships/hyperlink" Id="rId47" Target="https://github.com/aws/aws-cli/issues/9044" TargetMode="External" /><Relationship Type="http://schemas.openxmlformats.org/officeDocument/2006/relationships/hyperlink" Id="rId38" Target="https://github.com/aws/aws-sam-cli" TargetMode="External" /><Relationship Type="http://schemas.openxmlformats.org/officeDocument/2006/relationships/hyperlink" Id="rId52" Target="https://github.com/aws/aws-sam-cli/issues/7975" TargetMode="External" /><Relationship Type="http://schemas.openxmlformats.org/officeDocument/2006/relationships/hyperlink" Id="rId39" Target="https://github.com/aws/aws-sdk-js-v3" TargetMode="External" /><Relationship Type="http://schemas.openxmlformats.org/officeDocument/2006/relationships/hyperlink" Id="rId44" Target="https://github.com/aws/aws-sdk-js-v3/issues/6015" TargetMode="External" /><Relationship Type="http://schemas.openxmlformats.org/officeDocument/2006/relationships/hyperlink" Id="rId73" Target="https://github.com/awslabs" TargetMode="External" /><Relationship Type="http://schemas.openxmlformats.org/officeDocument/2006/relationships/hyperlink" Id="rId71" Target="https://github.com/build-on-aws" TargetMode="External" /><Relationship Type="http://schemas.openxmlformats.org/officeDocument/2006/relationships/hyperlink" Id="rId22" Target="https://w.amazon.com/bin/view/Users/imjamesl/VOCE/"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amazon-connect" TargetMode="External" /><Relationship Type="http://schemas.openxmlformats.org/officeDocument/2006/relationships/hyperlink" Id="rId51" Target="https://github.com/amazon-connect/amazon-connect-streams/issues/187" TargetMode="External" /><Relationship Type="http://schemas.openxmlformats.org/officeDocument/2006/relationships/hyperlink" Id="rId70" Target="https://github.com/aws" TargetMode="External" /><Relationship Type="http://schemas.openxmlformats.org/officeDocument/2006/relationships/hyperlink" Id="rId74" Target="https://github.com/aws-actions" TargetMode="External" /><Relationship Type="http://schemas.openxmlformats.org/officeDocument/2006/relationships/hyperlink" Id="rId41" Target="https://github.com/aws-amplify" TargetMode="External" /><Relationship Type="http://schemas.openxmlformats.org/officeDocument/2006/relationships/hyperlink" Id="rId49" Target="https://github.com/aws-amplify/amplify-ui/issues/1152" TargetMode="External" /><Relationship Type="http://schemas.openxmlformats.org/officeDocument/2006/relationships/hyperlink" Id="rId48" Target="https://github.com/aws-amplify/amplify-ui/issues/4398" TargetMode="External" /><Relationship Type="http://schemas.openxmlformats.org/officeDocument/2006/relationships/hyperlink" Id="rId54" Target="https://github.com/aws-amplify/amplify-ui/issues/6204" TargetMode="External" /><Relationship Type="http://schemas.openxmlformats.org/officeDocument/2006/relationships/hyperlink" Id="rId53" Target="https://github.com/aws-amplify/amplify-ui/issues/6570" TargetMode="External" /><Relationship Type="http://schemas.openxmlformats.org/officeDocument/2006/relationships/hyperlink" Id="rId72" Target="https://github.com/aws-ia" TargetMode="External" /><Relationship Type="http://schemas.openxmlformats.org/officeDocument/2006/relationships/hyperlink" Id="rId69" Target="https://github.com/aws-samples" TargetMode="External" /><Relationship Type="http://schemas.openxmlformats.org/officeDocument/2006/relationships/hyperlink" Id="rId76" Target="https://github.com/aws-solutions" TargetMode="External" /><Relationship Type="http://schemas.openxmlformats.org/officeDocument/2006/relationships/hyperlink" Id="rId75" Target="https://github.com/aws-solutions-library-samples" TargetMode="External" /><Relationship Type="http://schemas.openxmlformats.org/officeDocument/2006/relationships/hyperlink" Id="rId40" Target="https://github.com/aws/aws-cdk" TargetMode="External" /><Relationship Type="http://schemas.openxmlformats.org/officeDocument/2006/relationships/hyperlink" Id="rId46" Target="https://github.com/aws/aws-cdk-rfcs/issues/72" TargetMode="External" /><Relationship Type="http://schemas.openxmlformats.org/officeDocument/2006/relationships/hyperlink" Id="rId37" Target="https://github.com/aws/aws-cli" TargetMode="External" /><Relationship Type="http://schemas.openxmlformats.org/officeDocument/2006/relationships/hyperlink" Id="rId47" Target="https://github.com/aws/aws-cli/issues/9044" TargetMode="External" /><Relationship Type="http://schemas.openxmlformats.org/officeDocument/2006/relationships/hyperlink" Id="rId38" Target="https://github.com/aws/aws-sam-cli" TargetMode="External" /><Relationship Type="http://schemas.openxmlformats.org/officeDocument/2006/relationships/hyperlink" Id="rId52" Target="https://github.com/aws/aws-sam-cli/issues/7975" TargetMode="External" /><Relationship Type="http://schemas.openxmlformats.org/officeDocument/2006/relationships/hyperlink" Id="rId39" Target="https://github.com/aws/aws-sdk-js-v3" TargetMode="External" /><Relationship Type="http://schemas.openxmlformats.org/officeDocument/2006/relationships/hyperlink" Id="rId44" Target="https://github.com/aws/aws-sdk-js-v3/issues/6015" TargetMode="External" /><Relationship Type="http://schemas.openxmlformats.org/officeDocument/2006/relationships/hyperlink" Id="rId73" Target="https://github.com/awslabs" TargetMode="External" /><Relationship Type="http://schemas.openxmlformats.org/officeDocument/2006/relationships/hyperlink" Id="rId71" Target="https://github.com/build-on-aws" TargetMode="External" /><Relationship Type="http://schemas.openxmlformats.org/officeDocument/2006/relationships/hyperlink" Id="rId22" Target="https://w.amazon.com/bin/view/Users/imjamesl/VOCE/" TargetMode="Externa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2026-01-22T15:05:19Z</dcterms:created>
  <dcterms:modified xsi:type="dcterms:W3CDTF">2026-01-22T15:05:19Z</dcterms:modified>
</cp:coreProperties>
</file>

<file path=docProps/custom.xml><?xml version="1.0" encoding="utf-8"?>
<Properties xmlns="http://schemas.openxmlformats.org/officeDocument/2006/custom-properties" xmlns:vt="http://schemas.openxmlformats.org/officeDocument/2006/docPropsVTypes"/>
</file>