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EEB9" w14:textId="7F91E4DD" w:rsidR="00511F00" w:rsidRPr="00F6006B" w:rsidRDefault="00F6006B" w:rsidP="00F6006B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项目</w:t>
      </w:r>
      <w:r w:rsidRPr="00F6006B">
        <w:rPr>
          <w:rFonts w:hint="eastAsia"/>
          <w:b/>
          <w:bCs/>
          <w:sz w:val="44"/>
          <w:szCs w:val="48"/>
        </w:rPr>
        <w:t>需求调研单</w:t>
      </w:r>
    </w:p>
    <w:tbl>
      <w:tblPr>
        <w:tblW w:w="8077" w:type="dxa"/>
        <w:tblLook w:val="04A0" w:firstRow="1" w:lastRow="0" w:firstColumn="1" w:lastColumn="0" w:noHBand="0" w:noVBand="1"/>
      </w:tblPr>
      <w:tblGrid>
        <w:gridCol w:w="1555"/>
        <w:gridCol w:w="2409"/>
        <w:gridCol w:w="1701"/>
        <w:gridCol w:w="2412"/>
      </w:tblGrid>
      <w:tr w:rsidR="00F6006B" w:rsidRPr="00F6006B" w14:paraId="72E991E6" w14:textId="77777777" w:rsidTr="00F6006B">
        <w:trPr>
          <w:trHeight w:val="276"/>
        </w:trPr>
        <w:tc>
          <w:tcPr>
            <w:tcW w:w="8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9B9C" w14:textId="77777777" w:rsidR="00F6006B" w:rsidRPr="00F6006B" w:rsidRDefault="00F6006B" w:rsidP="00F600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项目需求调研单</w:t>
            </w:r>
          </w:p>
        </w:tc>
      </w:tr>
      <w:tr w:rsidR="00F6006B" w:rsidRPr="00F6006B" w14:paraId="748D199B" w14:textId="77777777" w:rsidTr="00F6006B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29C8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65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8FA2" w14:textId="5724D0F3" w:rsidR="00F6006B" w:rsidRPr="00F6006B" w:rsidRDefault="00871503" w:rsidP="00F600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天佑危险物质运输监控管理平台</w:t>
            </w:r>
            <w:r w:rsidR="00F6006B"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006B" w:rsidRPr="00F6006B" w14:paraId="0C9621AF" w14:textId="77777777" w:rsidTr="00F6006B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54C1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5D49" w14:textId="15230DA3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715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</w:t>
            </w:r>
            <w:proofErr w:type="gramStart"/>
            <w:r w:rsidR="008715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职协议</w:t>
            </w:r>
            <w:proofErr w:type="gramEnd"/>
            <w:r w:rsidR="008715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签署功能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85F2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所属功能模块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793E" w14:textId="56D62942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715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人事管理</w:t>
            </w:r>
          </w:p>
        </w:tc>
      </w:tr>
      <w:tr w:rsidR="00F6006B" w:rsidRPr="00F6006B" w14:paraId="674D413C" w14:textId="77777777" w:rsidTr="00F6006B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E840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建设方对接人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C980" w14:textId="70F9A5F6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715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张秋波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FCDA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30BB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006B" w:rsidRPr="00F6006B" w14:paraId="67998375" w14:textId="77777777" w:rsidTr="00F6006B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89B2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承建方对接人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1E8C" w14:textId="2845FE82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715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邹宏林、卢勇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B321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E3C2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006B" w:rsidRPr="00F6006B" w14:paraId="6068DB2B" w14:textId="77777777" w:rsidTr="00F6006B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149F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需求对接时间</w:t>
            </w:r>
          </w:p>
        </w:tc>
        <w:tc>
          <w:tcPr>
            <w:tcW w:w="65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C790" w14:textId="6C6923F0" w:rsidR="00F6006B" w:rsidRPr="00F6006B" w:rsidRDefault="00871503" w:rsidP="00F600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2019年9月1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F6006B" w:rsidRPr="00F6006B" w14:paraId="50B881DB" w14:textId="77777777" w:rsidTr="00F6006B">
        <w:trPr>
          <w:trHeight w:val="276"/>
        </w:trPr>
        <w:tc>
          <w:tcPr>
            <w:tcW w:w="8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E421" w14:textId="77777777" w:rsidR="00F6006B" w:rsidRPr="00F6006B" w:rsidRDefault="00F6006B" w:rsidP="00F600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00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需求详情</w:t>
            </w:r>
          </w:p>
        </w:tc>
      </w:tr>
      <w:tr w:rsidR="00F6006B" w:rsidRPr="00F6006B" w14:paraId="19F01A10" w14:textId="77777777" w:rsidTr="00F6006B">
        <w:trPr>
          <w:trHeight w:val="312"/>
        </w:trPr>
        <w:tc>
          <w:tcPr>
            <w:tcW w:w="807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AA90" w14:textId="0FC3F7A2" w:rsidR="00871503" w:rsidRDefault="00871503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功能概述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：员工入职之后，需要立即登录A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端并签署对应的入职协议（手写签署），员工可以查看自己已经签署的协议内容。</w:t>
            </w:r>
          </w:p>
          <w:p w14:paraId="55A76046" w14:textId="5854FF46" w:rsidR="00871503" w:rsidRDefault="00871503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功能触发模式：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当员工第一次使用账号登录A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时，立即触发签署入职协议。</w:t>
            </w:r>
          </w:p>
          <w:p w14:paraId="4FD2122C" w14:textId="65573C0F" w:rsidR="00871503" w:rsidRDefault="00871503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涉及后台功能：</w:t>
            </w:r>
            <w:r w:rsidR="00E75E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协议管理、员工签署协议历史数据。</w:t>
            </w:r>
          </w:p>
          <w:p w14:paraId="5EA80AFA" w14:textId="6B4E6582" w:rsidR="00E75E4F" w:rsidRDefault="00E75E4F" w:rsidP="00C43C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功能流程图：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14F41912" wp14:editId="5F5C1995">
                  <wp:extent cx="3429000" cy="7048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70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341B4" w14:textId="628FBC5E" w:rsidR="00C43C42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3742ECA" w14:textId="74DF5F08" w:rsidR="00C43C42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注意事项</w:t>
            </w:r>
            <w:r w:rsidR="007C0D0B"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proofErr w:type="gramStart"/>
            <w:r w:rsidR="007C0D0B"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标红部分</w:t>
            </w:r>
            <w:proofErr w:type="gramEnd"/>
            <w:r w:rsidR="007C0D0B"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应在3期</w:t>
            </w:r>
            <w:r w:rsidR="000863E5"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开发</w:t>
            </w:r>
            <w:r w:rsidR="007C0D0B" w:rsidRPr="00017D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）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br/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：新员工必须签订协议之后才能使用其他A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功能；</w:t>
            </w:r>
          </w:p>
          <w:p w14:paraId="653A8373" w14:textId="777CE4B7" w:rsidR="00C43C42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2：老员工第一次登陆A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也需要签署一次；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3：不同项目可以使用适用于自己的协议给员工进行签署</w:t>
            </w:r>
            <w:r w:rsidR="00BE2D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（主要是P</w:t>
            </w:r>
            <w:r w:rsidR="00BE2D89">
              <w:rPr>
                <w:rFonts w:ascii="等线" w:eastAsia="等线" w:hAnsi="等线" w:cs="宋体"/>
                <w:color w:val="000000"/>
                <w:kern w:val="0"/>
                <w:sz w:val="22"/>
              </w:rPr>
              <w:t>DF</w:t>
            </w:r>
            <w:r w:rsidR="00BE2D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文件中，）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5E29DA90" w14:textId="7A5BE677" w:rsidR="00C43C42" w:rsidRPr="00991FD7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4：当已签署协议的内容进行修改，员工则需要重新签署，而以前签署则作废；</w:t>
            </w:r>
          </w:p>
          <w:p w14:paraId="53B7EEF2" w14:textId="321A1056" w:rsidR="00C43C42" w:rsidRPr="00991FD7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lastRenderedPageBreak/>
              <w:t>5：协议具有一定的期限性，后台可以设置（期限性和离职及失效）；</w:t>
            </w:r>
          </w:p>
          <w:p w14:paraId="0DAB757D" w14:textId="40A5CD4E" w:rsidR="00C43C42" w:rsidRPr="00991FD7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6：劳动合同等具有一定法律效应的文件应当先线下签署，再上传至系统中，在A</w:t>
            </w:r>
            <w:r w:rsidRPr="00991FD7">
              <w:rPr>
                <w:rFonts w:ascii="等线" w:eastAsia="等线" w:hAnsi="等线" w:cs="宋体"/>
                <w:color w:val="FF0000"/>
                <w:kern w:val="0"/>
                <w:sz w:val="22"/>
              </w:rPr>
              <w:t>PP</w:t>
            </w:r>
            <w:proofErr w:type="gramStart"/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端个人</w:t>
            </w:r>
            <w:proofErr w:type="gramEnd"/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中心便于员工查看；</w:t>
            </w:r>
          </w:p>
          <w:p w14:paraId="09B5C801" w14:textId="1ED26F67" w:rsidR="00C43C42" w:rsidRPr="00991FD7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7：鉴于协议与岗位具有一定的联动性，那么</w:t>
            </w:r>
            <w:proofErr w:type="gramStart"/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发生变岗之后</w:t>
            </w:r>
            <w:proofErr w:type="gramEnd"/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，员工也需要签署对应岗位的协议；</w:t>
            </w:r>
          </w:p>
          <w:p w14:paraId="75F9A015" w14:textId="5827308B" w:rsidR="00C43C42" w:rsidRPr="00991FD7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8：当协议到期之后，则立即签署对应续签协议；</w:t>
            </w:r>
          </w:p>
          <w:p w14:paraId="727E2E11" w14:textId="7698AABE" w:rsidR="00C43C42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1FD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9：当员工离职，全部协议作废，则保留部分协议生效；</w:t>
            </w:r>
            <w:r w:rsidR="00C61BD5">
              <w:rPr>
                <w:rFonts w:ascii="等线" w:eastAsia="等线" w:hAnsi="等线" w:cs="宋体"/>
                <w:color w:val="FF0000"/>
                <w:kern w:val="0"/>
                <w:sz w:val="22"/>
              </w:rPr>
              <w:br/>
              <w:t>10</w:t>
            </w:r>
            <w:r w:rsidR="00C61BD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：后台具有“员工历史签署协议列表”功能，可以查看员工签署的全部协议；</w:t>
            </w:r>
          </w:p>
          <w:p w14:paraId="11D8D4A4" w14:textId="68D9AA5D" w:rsidR="00C43C42" w:rsidRPr="00C43C42" w:rsidRDefault="00C43C42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：个人中心新增“我的协议”板块 记录未签署、执行中和已过期3大类协议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br/>
              <w:t>11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：签署协议必须确定员工点击并浏览协议内容，然后才能签署协议。</w:t>
            </w:r>
            <w:r w:rsidR="008169B8">
              <w:rPr>
                <w:rFonts w:ascii="等线" w:eastAsia="等线" w:hAnsi="等线" w:cs="宋体"/>
                <w:color w:val="000000"/>
                <w:kern w:val="0"/>
                <w:sz w:val="22"/>
              </w:rPr>
              <w:br/>
              <w:t>12</w:t>
            </w:r>
            <w:r w:rsidR="008169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：员工在A</w:t>
            </w:r>
            <w:r w:rsidR="008169B8">
              <w:rPr>
                <w:rFonts w:ascii="等线" w:eastAsia="等线" w:hAnsi="等线" w:cs="宋体"/>
                <w:color w:val="000000"/>
                <w:kern w:val="0"/>
                <w:sz w:val="22"/>
              </w:rPr>
              <w:t>PP</w:t>
            </w:r>
            <w:r w:rsidR="008169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端和P</w:t>
            </w:r>
            <w:r w:rsidR="008169B8"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proofErr w:type="gramStart"/>
            <w:r w:rsidR="008169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端均可</w:t>
            </w:r>
            <w:proofErr w:type="gramEnd"/>
            <w:r w:rsidR="008169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查看已签署协议，系统不提供下载功能</w:t>
            </w:r>
          </w:p>
          <w:p w14:paraId="690A9FDE" w14:textId="47FE736B" w:rsidR="00871503" w:rsidRPr="00C43C42" w:rsidRDefault="00871503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79EBB9F" w14:textId="05F0E948" w:rsidR="00C43C42" w:rsidRPr="00BE2D89" w:rsidRDefault="00BE2D89" w:rsidP="0087150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E2D8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用例说明</w:t>
            </w:r>
            <w:r w:rsidRPr="00BE2D89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br/>
            </w:r>
            <w:r w:rsidR="009266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用例1</w:t>
            </w:r>
          </w:p>
          <w:p w14:paraId="7CD2C353" w14:textId="3CABC683" w:rsidR="00BE2D89" w:rsidRPr="008A3028" w:rsidRDefault="00BE2D89" w:rsidP="00BE2D89">
            <w:pPr>
              <w:numPr>
                <w:ilvl w:val="0"/>
                <w:numId w:val="1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用例编号：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ZXY</w:t>
            </w:r>
            <w:r w:rsidRPr="008A3028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1</w:t>
            </w:r>
          </w:p>
          <w:p w14:paraId="3C9C30CD" w14:textId="6EDCBF2C" w:rsidR="00BE2D89" w:rsidRPr="008A3028" w:rsidRDefault="00BE2D89" w:rsidP="00BE2D89">
            <w:pPr>
              <w:numPr>
                <w:ilvl w:val="0"/>
                <w:numId w:val="1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用例名称：</w:t>
            </w:r>
            <w:r>
              <w:rPr>
                <w:rFonts w:hint="eastAsia"/>
                <w:szCs w:val="21"/>
              </w:rPr>
              <w:t>新增入职协议</w:t>
            </w:r>
          </w:p>
          <w:p w14:paraId="4F0906CF" w14:textId="1CA3B0F9" w:rsidR="00BE2D89" w:rsidRPr="008A3028" w:rsidRDefault="00BE2D89" w:rsidP="00BE2D89">
            <w:pPr>
              <w:numPr>
                <w:ilvl w:val="0"/>
                <w:numId w:val="1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用例概述：</w:t>
            </w:r>
            <w:r w:rsidR="00670319">
              <w:rPr>
                <w:rFonts w:hint="eastAsia"/>
                <w:szCs w:val="21"/>
              </w:rPr>
              <w:t>天佑集团总部人事主管在后台设置-入</w:t>
            </w:r>
            <w:proofErr w:type="gramStart"/>
            <w:r w:rsidR="00670319">
              <w:rPr>
                <w:rFonts w:hint="eastAsia"/>
                <w:szCs w:val="21"/>
              </w:rPr>
              <w:t>职协议</w:t>
            </w:r>
            <w:proofErr w:type="gramEnd"/>
            <w:r w:rsidR="00670319">
              <w:rPr>
                <w:rFonts w:hint="eastAsia"/>
                <w:szCs w:val="21"/>
              </w:rPr>
              <w:t>管理中新增升入职协议。</w:t>
            </w:r>
          </w:p>
          <w:p w14:paraId="285700FA" w14:textId="0097CFBA" w:rsidR="00BE2D89" w:rsidRPr="008A3028" w:rsidRDefault="00BE2D89" w:rsidP="00BE2D89">
            <w:pPr>
              <w:numPr>
                <w:ilvl w:val="0"/>
                <w:numId w:val="1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用例参与者或角色：</w:t>
            </w:r>
            <w:r w:rsidR="00670319">
              <w:rPr>
                <w:rFonts w:hint="eastAsia"/>
                <w:szCs w:val="21"/>
              </w:rPr>
              <w:t>天佑集团总部人事主管</w:t>
            </w:r>
          </w:p>
          <w:p w14:paraId="2CCD3F21" w14:textId="77777777" w:rsidR="00BE2D89" w:rsidRDefault="00BE2D89" w:rsidP="00BE2D89">
            <w:pPr>
              <w:numPr>
                <w:ilvl w:val="0"/>
                <w:numId w:val="1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 xml:space="preserve">主要步骤 </w:t>
            </w:r>
          </w:p>
          <w:tbl>
            <w:tblPr>
              <w:tblW w:w="0" w:type="auto"/>
              <w:tblInd w:w="9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72"/>
              <w:gridCol w:w="2306"/>
              <w:gridCol w:w="2290"/>
            </w:tblGrid>
            <w:tr w:rsidR="00BE2D89" w:rsidRPr="007E65DA" w14:paraId="02024B54" w14:textId="77777777" w:rsidTr="00181287">
              <w:trPr>
                <w:trHeight w:val="284"/>
              </w:trPr>
              <w:tc>
                <w:tcPr>
                  <w:tcW w:w="2272" w:type="dxa"/>
                </w:tcPr>
                <w:p w14:paraId="58FB9354" w14:textId="77777777" w:rsidR="00BE2D89" w:rsidRPr="007E65DA" w:rsidRDefault="00BE2D89" w:rsidP="00BE2D89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步骤编号</w:t>
                  </w:r>
                </w:p>
              </w:tc>
              <w:tc>
                <w:tcPr>
                  <w:tcW w:w="2306" w:type="dxa"/>
                </w:tcPr>
                <w:p w14:paraId="464FDC26" w14:textId="77777777" w:rsidR="00BE2D89" w:rsidRPr="007E65DA" w:rsidRDefault="00BE2D89" w:rsidP="00BE2D89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参与者行动</w:t>
                  </w:r>
                </w:p>
              </w:tc>
              <w:tc>
                <w:tcPr>
                  <w:tcW w:w="2290" w:type="dxa"/>
                </w:tcPr>
                <w:p w14:paraId="00BD8775" w14:textId="77777777" w:rsidR="00BE2D89" w:rsidRPr="007E65DA" w:rsidRDefault="00BE2D89" w:rsidP="00BE2D89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系统行动</w:t>
                  </w:r>
                </w:p>
              </w:tc>
            </w:tr>
            <w:tr w:rsidR="00BE2D89" w:rsidRPr="007E65DA" w14:paraId="2FD6100D" w14:textId="77777777" w:rsidTr="00181287">
              <w:trPr>
                <w:trHeight w:val="284"/>
              </w:trPr>
              <w:tc>
                <w:tcPr>
                  <w:tcW w:w="2272" w:type="dxa"/>
                </w:tcPr>
                <w:p w14:paraId="2D10955B" w14:textId="77777777" w:rsidR="00BE2D89" w:rsidRPr="007E65DA" w:rsidRDefault="00BE2D89" w:rsidP="00BE2D89">
                  <w:pPr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06" w:type="dxa"/>
                </w:tcPr>
                <w:p w14:paraId="703EA01A" w14:textId="32B5F70A" w:rsidR="00BE2D89" w:rsidRPr="007E65DA" w:rsidRDefault="00670319" w:rsidP="00BE2D89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天佑集团</w:t>
                  </w:r>
                  <w:r w:rsidR="005264D5">
                    <w:rPr>
                      <w:rFonts w:hint="eastAsia"/>
                      <w:sz w:val="18"/>
                      <w:szCs w:val="18"/>
                    </w:rPr>
                    <w:t>总部人事主管，点击“后台设置-入职协议管理”</w:t>
                  </w:r>
                </w:p>
              </w:tc>
              <w:tc>
                <w:tcPr>
                  <w:tcW w:w="2290" w:type="dxa"/>
                </w:tcPr>
                <w:p w14:paraId="2D910769" w14:textId="77777777" w:rsidR="00BE2D89" w:rsidRPr="005264D5" w:rsidRDefault="00BE2D89" w:rsidP="00BE2D89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E2D89" w:rsidRPr="000C42D7" w14:paraId="38EC7F0A" w14:textId="77777777" w:rsidTr="00181287">
              <w:trPr>
                <w:trHeight w:val="284"/>
              </w:trPr>
              <w:tc>
                <w:tcPr>
                  <w:tcW w:w="2272" w:type="dxa"/>
                </w:tcPr>
                <w:p w14:paraId="42329272" w14:textId="77777777" w:rsidR="00BE2D89" w:rsidRPr="007E65DA" w:rsidRDefault="00BE2D89" w:rsidP="00BE2D89">
                  <w:pPr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06" w:type="dxa"/>
                </w:tcPr>
                <w:p w14:paraId="29290372" w14:textId="77777777" w:rsidR="00BE2D89" w:rsidRPr="007E65DA" w:rsidRDefault="00BE2D89" w:rsidP="00BE2D89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2575F2B3" w14:textId="15FE1303" w:rsidR="00BE2D89" w:rsidRPr="007E65DA" w:rsidRDefault="00BE2D89" w:rsidP="00BE2D8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进入</w:t>
                  </w:r>
                  <w:r w:rsidR="005264D5">
                    <w:rPr>
                      <w:rFonts w:hint="eastAsia"/>
                      <w:sz w:val="18"/>
                      <w:szCs w:val="18"/>
                    </w:rPr>
                    <w:t>“入职协议管理”主界面</w:t>
                  </w:r>
                </w:p>
              </w:tc>
            </w:tr>
            <w:tr w:rsidR="00BE2D89" w:rsidRPr="000C42D7" w14:paraId="2923449A" w14:textId="77777777" w:rsidTr="00181287">
              <w:trPr>
                <w:trHeight w:val="284"/>
              </w:trPr>
              <w:tc>
                <w:tcPr>
                  <w:tcW w:w="2272" w:type="dxa"/>
                </w:tcPr>
                <w:p w14:paraId="63D27D72" w14:textId="77777777" w:rsidR="00BE2D89" w:rsidRPr="007E65DA" w:rsidRDefault="00BE2D89" w:rsidP="00BE2D8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06" w:type="dxa"/>
                </w:tcPr>
                <w:p w14:paraId="1D235DF3" w14:textId="40E62281" w:rsidR="00BE2D89" w:rsidRPr="007E65DA" w:rsidRDefault="005264D5" w:rsidP="00BE2D89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天佑集团总部人事主管，点击“新增”按键。</w:t>
                  </w:r>
                </w:p>
              </w:tc>
              <w:tc>
                <w:tcPr>
                  <w:tcW w:w="2290" w:type="dxa"/>
                </w:tcPr>
                <w:p w14:paraId="70D7FD74" w14:textId="57C693F1" w:rsidR="00BE2D89" w:rsidRDefault="00BE2D89" w:rsidP="00BE2D89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E2D89" w:rsidRPr="000C42D7" w14:paraId="6F35D288" w14:textId="77777777" w:rsidTr="00181287">
              <w:trPr>
                <w:trHeight w:val="284"/>
              </w:trPr>
              <w:tc>
                <w:tcPr>
                  <w:tcW w:w="2272" w:type="dxa"/>
                </w:tcPr>
                <w:p w14:paraId="490B8C5B" w14:textId="77777777" w:rsidR="00BE2D89" w:rsidRDefault="00BE2D89" w:rsidP="00BE2D8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06" w:type="dxa"/>
                </w:tcPr>
                <w:p w14:paraId="5B1452AD" w14:textId="7330D1CC" w:rsidR="00BE2D89" w:rsidRPr="007E65DA" w:rsidRDefault="00BE2D89" w:rsidP="00BE2D89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35B4ABF6" w14:textId="584FBC58" w:rsidR="00BE2D89" w:rsidRDefault="00181287" w:rsidP="00BE2D89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弹出“新增入职协议”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弹窗</w:t>
                  </w:r>
                  <w:proofErr w:type="gramEnd"/>
                </w:p>
              </w:tc>
            </w:tr>
            <w:tr w:rsidR="00BE2D89" w:rsidRPr="000C42D7" w14:paraId="171793A7" w14:textId="77777777" w:rsidTr="00181287">
              <w:trPr>
                <w:trHeight w:val="284"/>
              </w:trPr>
              <w:tc>
                <w:tcPr>
                  <w:tcW w:w="2272" w:type="dxa"/>
                </w:tcPr>
                <w:p w14:paraId="7EDAA742" w14:textId="77777777" w:rsidR="00BE2D89" w:rsidRDefault="00BE2D89" w:rsidP="00BE2D8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06" w:type="dxa"/>
                </w:tcPr>
                <w:p w14:paraId="254F98EC" w14:textId="342F8506" w:rsidR="00BE2D89" w:rsidRDefault="00181287" w:rsidP="00BE2D89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天佑集团总部人事主管</w:t>
                  </w:r>
                  <w:r>
                    <w:rPr>
                      <w:rFonts w:hint="eastAsia"/>
                      <w:sz w:val="18"/>
                      <w:szCs w:val="18"/>
                    </w:rPr>
                    <w:t>如实填写协议参数并上传入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职协议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DF</w:t>
                  </w:r>
                  <w:r>
                    <w:rPr>
                      <w:rFonts w:hint="eastAsia"/>
                      <w:sz w:val="18"/>
                      <w:szCs w:val="18"/>
                    </w:rPr>
                    <w:t>文件，最后点击“确定”按键</w:t>
                  </w:r>
                </w:p>
              </w:tc>
              <w:tc>
                <w:tcPr>
                  <w:tcW w:w="2290" w:type="dxa"/>
                </w:tcPr>
                <w:p w14:paraId="79AA58A4" w14:textId="0F65517E" w:rsidR="00BE2D89" w:rsidRDefault="00BE2D89" w:rsidP="00BE2D89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81287" w:rsidRPr="000C42D7" w14:paraId="48C8FA77" w14:textId="77777777" w:rsidTr="00181287">
              <w:trPr>
                <w:trHeight w:val="284"/>
              </w:trPr>
              <w:tc>
                <w:tcPr>
                  <w:tcW w:w="2272" w:type="dxa"/>
                </w:tcPr>
                <w:p w14:paraId="7E881BBF" w14:textId="77777777" w:rsidR="00181287" w:rsidRDefault="00181287" w:rsidP="0018128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06" w:type="dxa"/>
                </w:tcPr>
                <w:p w14:paraId="469D636D" w14:textId="77777777" w:rsidR="00181287" w:rsidRDefault="00181287" w:rsidP="0018128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1EFC1BF3" w14:textId="642CC50F" w:rsidR="00181287" w:rsidRDefault="00181287" w:rsidP="0018128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保存参数，设置成功</w:t>
                  </w:r>
                </w:p>
              </w:tc>
            </w:tr>
          </w:tbl>
          <w:p w14:paraId="2B402F3F" w14:textId="77777777" w:rsidR="00926619" w:rsidRDefault="00926619" w:rsidP="0087150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  <w:p w14:paraId="4B61AA65" w14:textId="5AFCB1DC" w:rsidR="00BE2D89" w:rsidRPr="00926619" w:rsidRDefault="00926619" w:rsidP="00871503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266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用例2</w:t>
            </w:r>
          </w:p>
          <w:p w14:paraId="2079C32A" w14:textId="35B5B8C6" w:rsidR="00926619" w:rsidRPr="008A3028" w:rsidRDefault="00926619" w:rsidP="00926619">
            <w:pPr>
              <w:numPr>
                <w:ilvl w:val="0"/>
                <w:numId w:val="2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用例编号：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ZXY</w:t>
            </w:r>
            <w:r w:rsidRPr="008A3028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2</w:t>
            </w:r>
          </w:p>
          <w:p w14:paraId="7A40ECE2" w14:textId="2B7A9F1A" w:rsidR="00926619" w:rsidRPr="008A3028" w:rsidRDefault="00926619" w:rsidP="00926619">
            <w:pPr>
              <w:numPr>
                <w:ilvl w:val="0"/>
                <w:numId w:val="2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用例名称：</w:t>
            </w:r>
            <w:r>
              <w:rPr>
                <w:rFonts w:hint="eastAsia"/>
                <w:szCs w:val="21"/>
              </w:rPr>
              <w:t>配置入职流程入职协议</w:t>
            </w:r>
          </w:p>
          <w:p w14:paraId="27CC9702" w14:textId="02325DAD" w:rsidR="00926619" w:rsidRPr="008A3028" w:rsidRDefault="00926619" w:rsidP="00926619">
            <w:pPr>
              <w:numPr>
                <w:ilvl w:val="0"/>
                <w:numId w:val="2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用例概述：</w:t>
            </w:r>
            <w:r>
              <w:rPr>
                <w:rFonts w:hint="eastAsia"/>
                <w:szCs w:val="21"/>
              </w:rPr>
              <w:t>天佑集团总部人事主管在后台设置-入职</w:t>
            </w:r>
            <w:r>
              <w:rPr>
                <w:rFonts w:hint="eastAsia"/>
                <w:szCs w:val="21"/>
              </w:rPr>
              <w:t>流程管理</w:t>
            </w:r>
            <w:r>
              <w:rPr>
                <w:rFonts w:hint="eastAsia"/>
                <w:szCs w:val="21"/>
              </w:rPr>
              <w:t>中新增升入职</w:t>
            </w:r>
            <w:r>
              <w:rPr>
                <w:rFonts w:hint="eastAsia"/>
                <w:szCs w:val="21"/>
              </w:rPr>
              <w:t>流程</w:t>
            </w:r>
            <w:r>
              <w:rPr>
                <w:rFonts w:hint="eastAsia"/>
                <w:szCs w:val="21"/>
              </w:rPr>
              <w:t>。</w:t>
            </w:r>
          </w:p>
          <w:p w14:paraId="6EC9F9C5" w14:textId="6F59E44C" w:rsidR="00926619" w:rsidRPr="008A3028" w:rsidRDefault="00926619" w:rsidP="00926619">
            <w:pPr>
              <w:numPr>
                <w:ilvl w:val="0"/>
                <w:numId w:val="2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用例参与者或角色：</w:t>
            </w:r>
            <w:r>
              <w:rPr>
                <w:rFonts w:hint="eastAsia"/>
                <w:szCs w:val="21"/>
              </w:rPr>
              <w:t>天佑集团总部人事主管</w:t>
            </w:r>
          </w:p>
          <w:p w14:paraId="557FF6CC" w14:textId="5AC10949" w:rsidR="00926619" w:rsidRDefault="00926619" w:rsidP="00926619">
            <w:pPr>
              <w:numPr>
                <w:ilvl w:val="0"/>
                <w:numId w:val="2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 xml:space="preserve">主要步骤 </w:t>
            </w:r>
          </w:p>
          <w:tbl>
            <w:tblPr>
              <w:tblW w:w="0" w:type="auto"/>
              <w:tblInd w:w="9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72"/>
              <w:gridCol w:w="2306"/>
              <w:gridCol w:w="2290"/>
            </w:tblGrid>
            <w:tr w:rsidR="00F80A05" w:rsidRPr="007E65DA" w14:paraId="66F179E1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5D1CFFA7" w14:textId="77777777" w:rsidR="00F80A05" w:rsidRPr="007E65DA" w:rsidRDefault="00F80A05" w:rsidP="00F80A05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步骤编号</w:t>
                  </w:r>
                </w:p>
              </w:tc>
              <w:tc>
                <w:tcPr>
                  <w:tcW w:w="2306" w:type="dxa"/>
                </w:tcPr>
                <w:p w14:paraId="3C88A1B4" w14:textId="77777777" w:rsidR="00F80A05" w:rsidRPr="007E65DA" w:rsidRDefault="00F80A05" w:rsidP="00F80A05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参与者行动</w:t>
                  </w:r>
                </w:p>
              </w:tc>
              <w:tc>
                <w:tcPr>
                  <w:tcW w:w="2290" w:type="dxa"/>
                </w:tcPr>
                <w:p w14:paraId="60B04FC7" w14:textId="77777777" w:rsidR="00F80A05" w:rsidRPr="007E65DA" w:rsidRDefault="00F80A05" w:rsidP="00F80A05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系统行动</w:t>
                  </w:r>
                </w:p>
              </w:tc>
            </w:tr>
            <w:tr w:rsidR="00F80A05" w:rsidRPr="007E65DA" w14:paraId="2C35FE30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58DD9EDA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06" w:type="dxa"/>
                </w:tcPr>
                <w:p w14:paraId="49240389" w14:textId="77777777" w:rsidR="00F80A05" w:rsidRPr="007E65DA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天佑集团总部人事主管，点</w:t>
                  </w:r>
                  <w:r>
                    <w:rPr>
                      <w:rFonts w:hint="eastAsia"/>
                      <w:sz w:val="18"/>
                      <w:szCs w:val="18"/>
                    </w:rPr>
                    <w:lastRenderedPageBreak/>
                    <w:t>击“后台设置-入职流程配置”</w:t>
                  </w:r>
                </w:p>
              </w:tc>
              <w:tc>
                <w:tcPr>
                  <w:tcW w:w="2290" w:type="dxa"/>
                </w:tcPr>
                <w:p w14:paraId="05A87FA8" w14:textId="77777777" w:rsidR="00F80A05" w:rsidRPr="005264D5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80A05" w:rsidRPr="000C42D7" w14:paraId="7E7ABEB4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2E654D15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06" w:type="dxa"/>
                </w:tcPr>
                <w:p w14:paraId="7F4AE9B4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77F49EBD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进入“入职流程配置”主界面</w:t>
                  </w:r>
                </w:p>
              </w:tc>
            </w:tr>
            <w:tr w:rsidR="00F80A05" w:rsidRPr="000C42D7" w14:paraId="7B9A7EFF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45F2FDF2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06" w:type="dxa"/>
                </w:tcPr>
                <w:p w14:paraId="1604FED0" w14:textId="77777777" w:rsidR="00F80A05" w:rsidRPr="007E65DA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天佑集团总部人事主管，点击“新增”按键。</w:t>
                  </w:r>
                </w:p>
              </w:tc>
              <w:tc>
                <w:tcPr>
                  <w:tcW w:w="2290" w:type="dxa"/>
                </w:tcPr>
                <w:p w14:paraId="58B0397E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80A05" w:rsidRPr="000C42D7" w14:paraId="1C0AA460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7106EFE0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06" w:type="dxa"/>
                </w:tcPr>
                <w:p w14:paraId="322D4C4D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0ED4FD6B" w14:textId="77777777" w:rsidR="00F80A05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弹出“新增入职流程”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弹窗</w:t>
                  </w:r>
                  <w:proofErr w:type="gramEnd"/>
                </w:p>
              </w:tc>
            </w:tr>
            <w:tr w:rsidR="00F80A05" w:rsidRPr="000C42D7" w14:paraId="27012B90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5F50BAAF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06" w:type="dxa"/>
                </w:tcPr>
                <w:p w14:paraId="3716B42D" w14:textId="77777777" w:rsidR="00F80A05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天佑集团总部人事主管如实填写入职流程参数、和选着入职流程审核节点并选择对应的入职协议，最后点击“确定”按键</w:t>
                  </w:r>
                </w:p>
              </w:tc>
              <w:tc>
                <w:tcPr>
                  <w:tcW w:w="2290" w:type="dxa"/>
                </w:tcPr>
                <w:p w14:paraId="7D0AEBB3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80A05" w:rsidRPr="000C42D7" w14:paraId="19178E2D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72F0FEC3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06" w:type="dxa"/>
                </w:tcPr>
                <w:p w14:paraId="226A7BAC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6A1740A3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保存参数，设置成功</w:t>
                  </w:r>
                </w:p>
              </w:tc>
            </w:tr>
          </w:tbl>
          <w:p w14:paraId="6791D387" w14:textId="1D2E260F" w:rsidR="00F6006B" w:rsidRDefault="00F6006B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E76C713" w14:textId="41E1EAFE" w:rsidR="00F80A05" w:rsidRPr="00F80A05" w:rsidRDefault="00F80A05" w:rsidP="00871503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80A0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用例3</w:t>
            </w:r>
          </w:p>
          <w:p w14:paraId="6E498AE4" w14:textId="228F0751" w:rsidR="00F80A05" w:rsidRPr="008A3028" w:rsidRDefault="00F80A05" w:rsidP="00F80A05">
            <w:pPr>
              <w:numPr>
                <w:ilvl w:val="0"/>
                <w:numId w:val="3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用例编号：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ZXY</w:t>
            </w:r>
            <w:r w:rsidRPr="008A3028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3</w:t>
            </w:r>
          </w:p>
          <w:p w14:paraId="166232E2" w14:textId="0D24980F" w:rsidR="00F80A05" w:rsidRPr="008A3028" w:rsidRDefault="00F80A05" w:rsidP="00F80A05">
            <w:pPr>
              <w:numPr>
                <w:ilvl w:val="0"/>
                <w:numId w:val="3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用例名称：</w:t>
            </w:r>
            <w:r>
              <w:rPr>
                <w:rFonts w:hint="eastAsia"/>
                <w:szCs w:val="21"/>
              </w:rPr>
              <w:t>员工签订入职协议</w:t>
            </w:r>
          </w:p>
          <w:p w14:paraId="5046CADD" w14:textId="7E2EB901" w:rsidR="00F80A05" w:rsidRPr="008A3028" w:rsidRDefault="00F80A05" w:rsidP="00F80A05">
            <w:pPr>
              <w:numPr>
                <w:ilvl w:val="0"/>
                <w:numId w:val="3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用例概述：</w:t>
            </w:r>
            <w:r>
              <w:rPr>
                <w:rFonts w:hint="eastAsia"/>
                <w:szCs w:val="21"/>
              </w:rPr>
              <w:t>员工登录A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，则立即出现签订入</w:t>
            </w:r>
            <w:proofErr w:type="gramStart"/>
            <w:r>
              <w:rPr>
                <w:rFonts w:hint="eastAsia"/>
                <w:szCs w:val="21"/>
              </w:rPr>
              <w:t>职协议</w:t>
            </w:r>
            <w:proofErr w:type="gramEnd"/>
            <w:r>
              <w:rPr>
                <w:rFonts w:hint="eastAsia"/>
                <w:szCs w:val="21"/>
              </w:rPr>
              <w:t>的弹窗，然后点击“去签署”，先逐一点击并浏览，点击签署，在手机屏幕上手写签字，最后点击“签署提交”。</w:t>
            </w:r>
          </w:p>
          <w:p w14:paraId="46E1540E" w14:textId="7C52CA17" w:rsidR="00F80A05" w:rsidRPr="008A3028" w:rsidRDefault="00F80A05" w:rsidP="00F80A05">
            <w:pPr>
              <w:numPr>
                <w:ilvl w:val="0"/>
                <w:numId w:val="3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>用例参与者或角色：</w:t>
            </w:r>
            <w:r>
              <w:rPr>
                <w:rFonts w:hint="eastAsia"/>
                <w:szCs w:val="21"/>
              </w:rPr>
              <w:t>员工</w:t>
            </w:r>
          </w:p>
          <w:p w14:paraId="4D6279C6" w14:textId="77777777" w:rsidR="00F80A05" w:rsidRDefault="00F80A05" w:rsidP="00F80A05">
            <w:pPr>
              <w:numPr>
                <w:ilvl w:val="0"/>
                <w:numId w:val="3"/>
              </w:numPr>
              <w:rPr>
                <w:szCs w:val="21"/>
              </w:rPr>
            </w:pPr>
            <w:r w:rsidRPr="008A3028">
              <w:rPr>
                <w:rFonts w:hint="eastAsia"/>
                <w:szCs w:val="21"/>
              </w:rPr>
              <w:t xml:space="preserve">主要步骤 </w:t>
            </w:r>
          </w:p>
          <w:tbl>
            <w:tblPr>
              <w:tblW w:w="0" w:type="auto"/>
              <w:tblInd w:w="9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72"/>
              <w:gridCol w:w="2306"/>
              <w:gridCol w:w="2290"/>
            </w:tblGrid>
            <w:tr w:rsidR="00F80A05" w:rsidRPr="007E65DA" w14:paraId="7390B935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55E66EDB" w14:textId="77777777" w:rsidR="00F80A05" w:rsidRPr="007E65DA" w:rsidRDefault="00F80A05" w:rsidP="00F80A05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步骤编号</w:t>
                  </w:r>
                </w:p>
              </w:tc>
              <w:tc>
                <w:tcPr>
                  <w:tcW w:w="2306" w:type="dxa"/>
                </w:tcPr>
                <w:p w14:paraId="04379DCE" w14:textId="77777777" w:rsidR="00F80A05" w:rsidRPr="007E65DA" w:rsidRDefault="00F80A05" w:rsidP="00F80A05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参与者行动</w:t>
                  </w:r>
                </w:p>
              </w:tc>
              <w:tc>
                <w:tcPr>
                  <w:tcW w:w="2290" w:type="dxa"/>
                </w:tcPr>
                <w:p w14:paraId="64AD9DEF" w14:textId="77777777" w:rsidR="00F80A05" w:rsidRPr="007E65DA" w:rsidRDefault="00F80A05" w:rsidP="00F80A05">
                  <w:pPr>
                    <w:jc w:val="center"/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系统行动</w:t>
                  </w:r>
                </w:p>
              </w:tc>
            </w:tr>
            <w:tr w:rsidR="00F80A05" w:rsidRPr="007E65DA" w14:paraId="567EA3CB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121E08DD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06" w:type="dxa"/>
                </w:tcPr>
                <w:p w14:paraId="2546BB43" w14:textId="328AC349" w:rsidR="00F80A05" w:rsidRPr="007E65DA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员工登录A</w:t>
                  </w:r>
                  <w:r>
                    <w:rPr>
                      <w:sz w:val="18"/>
                      <w:szCs w:val="18"/>
                    </w:rPr>
                    <w:t>PP</w:t>
                  </w:r>
                </w:p>
              </w:tc>
              <w:tc>
                <w:tcPr>
                  <w:tcW w:w="2290" w:type="dxa"/>
                </w:tcPr>
                <w:p w14:paraId="258ABCED" w14:textId="77777777" w:rsidR="00F80A05" w:rsidRPr="005264D5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80A05" w:rsidRPr="000C42D7" w14:paraId="4A979F61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535E7877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  <w:r w:rsidRPr="007E65DA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06" w:type="dxa"/>
                </w:tcPr>
                <w:p w14:paraId="6A403F46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3DC85CA9" w14:textId="0D4553BA" w:rsidR="00F80A05" w:rsidRPr="007E65DA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判定是否已经签署过入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职协议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的，若已签署过则不显示“签署入职协议”弹窗，若未签署则显示“签署入职协议”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弹窗</w:t>
                  </w:r>
                  <w:proofErr w:type="gramEnd"/>
                </w:p>
              </w:tc>
            </w:tr>
            <w:tr w:rsidR="00F80A05" w:rsidRPr="000C42D7" w14:paraId="09C488F2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35CA19DD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06" w:type="dxa"/>
                </w:tcPr>
                <w:p w14:paraId="254F1405" w14:textId="4869932F" w:rsidR="00F80A05" w:rsidRPr="007E65DA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点击“签署入职协议”弹窗上的“去签署”按键</w:t>
                  </w:r>
                </w:p>
              </w:tc>
              <w:tc>
                <w:tcPr>
                  <w:tcW w:w="2290" w:type="dxa"/>
                </w:tcPr>
                <w:p w14:paraId="65BFCA66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80A05" w:rsidRPr="000C42D7" w14:paraId="184A5EBC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53C64FE1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06" w:type="dxa"/>
                </w:tcPr>
                <w:p w14:paraId="79F34BC4" w14:textId="77777777" w:rsidR="00F80A05" w:rsidRPr="007E65DA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05AEA707" w14:textId="5FA0F346" w:rsidR="00F80A05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根据当前</w:t>
                  </w:r>
                  <w:r w:rsidR="00CD38DC">
                    <w:rPr>
                      <w:rFonts w:hint="eastAsia"/>
                      <w:sz w:val="18"/>
                      <w:szCs w:val="18"/>
                    </w:rPr>
                    <w:t>员工</w:t>
                  </w:r>
                  <w:r w:rsidR="0020138D">
                    <w:rPr>
                      <w:rFonts w:hint="eastAsia"/>
                      <w:sz w:val="18"/>
                      <w:szCs w:val="18"/>
                    </w:rPr>
                    <w:t>的所属项目和就职岗位进行读取后台对应入职流程协议，并在A</w:t>
                  </w:r>
                  <w:r w:rsidR="0020138D">
                    <w:rPr>
                      <w:sz w:val="18"/>
                      <w:szCs w:val="18"/>
                    </w:rPr>
                    <w:t>PP</w:t>
                  </w:r>
                  <w:r w:rsidR="0020138D">
                    <w:rPr>
                      <w:rFonts w:hint="eastAsia"/>
                      <w:sz w:val="18"/>
                      <w:szCs w:val="18"/>
                    </w:rPr>
                    <w:t>界面上跳转至对应的协议列表界面</w:t>
                  </w:r>
                </w:p>
              </w:tc>
            </w:tr>
            <w:tr w:rsidR="00F80A05" w:rsidRPr="000C42D7" w14:paraId="023D9824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782105B2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06" w:type="dxa"/>
                </w:tcPr>
                <w:p w14:paraId="25E46EBC" w14:textId="20F18859" w:rsidR="00F80A05" w:rsidRDefault="0020138D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在协议列表中选择并点击要浏览的协议</w:t>
                  </w:r>
                </w:p>
              </w:tc>
              <w:tc>
                <w:tcPr>
                  <w:tcW w:w="2290" w:type="dxa"/>
                </w:tcPr>
                <w:p w14:paraId="4778D985" w14:textId="797B72ED" w:rsidR="00F80A05" w:rsidRDefault="00F80A05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F80A05" w:rsidRPr="000C42D7" w14:paraId="7F36CEED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100241DF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06" w:type="dxa"/>
                </w:tcPr>
                <w:p w14:paraId="41A5C29C" w14:textId="77777777" w:rsidR="00F80A05" w:rsidRDefault="00F80A05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0F27A6CD" w14:textId="26E31065" w:rsidR="00F80A05" w:rsidRDefault="0020138D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显示所点击协议的详情页面</w:t>
                  </w:r>
                </w:p>
              </w:tc>
            </w:tr>
            <w:tr w:rsidR="0020138D" w:rsidRPr="000C42D7" w14:paraId="7D5C9A2E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695A4C7A" w14:textId="66120194" w:rsidR="0020138D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06" w:type="dxa"/>
                </w:tcPr>
                <w:p w14:paraId="4834D144" w14:textId="7C1C08C8" w:rsidR="0020138D" w:rsidRDefault="0020138D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上下滑动页面，浏览，最后点击页面最下方的“确定已浏览”按键</w:t>
                  </w:r>
                </w:p>
              </w:tc>
              <w:tc>
                <w:tcPr>
                  <w:tcW w:w="2290" w:type="dxa"/>
                </w:tcPr>
                <w:p w14:paraId="2D4CFB97" w14:textId="77777777" w:rsidR="0020138D" w:rsidRDefault="0020138D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20138D" w:rsidRPr="000C42D7" w14:paraId="2CA176E8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12B9BB88" w14:textId="5BD36A86" w:rsidR="0020138D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306" w:type="dxa"/>
                </w:tcPr>
                <w:p w14:paraId="7A5BFD5C" w14:textId="77777777" w:rsidR="0020138D" w:rsidRDefault="0020138D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3613B207" w14:textId="30BDFCD6" w:rsidR="0020138D" w:rsidRDefault="0020138D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将当前员工账号的入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职协议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设置为“已浏览”，同时界</w:t>
                  </w:r>
                  <w:r>
                    <w:rPr>
                      <w:rFonts w:hint="eastAsia"/>
                      <w:sz w:val="18"/>
                      <w:szCs w:val="18"/>
                    </w:rPr>
                    <w:lastRenderedPageBreak/>
                    <w:t>面返回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至入职协议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列表中（刚点击“确定已浏览”的协议状态字段变为“已浏览”或者是标绿）</w:t>
                  </w:r>
                </w:p>
              </w:tc>
            </w:tr>
            <w:tr w:rsidR="0020138D" w:rsidRPr="000C42D7" w14:paraId="10ED9998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30F49340" w14:textId="58AA75C3" w:rsidR="0020138D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lastRenderedPageBreak/>
                    <w:t>9</w:t>
                  </w:r>
                </w:p>
              </w:tc>
              <w:tc>
                <w:tcPr>
                  <w:tcW w:w="2306" w:type="dxa"/>
                </w:tcPr>
                <w:p w14:paraId="31C1BB8B" w14:textId="05940CE8" w:rsidR="0020138D" w:rsidRPr="0020138D" w:rsidRDefault="0020138D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点击入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职协议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列表中最下方的“立即签署”按键</w:t>
                  </w:r>
                </w:p>
              </w:tc>
              <w:tc>
                <w:tcPr>
                  <w:tcW w:w="2290" w:type="dxa"/>
                </w:tcPr>
                <w:p w14:paraId="70448D4C" w14:textId="77777777" w:rsidR="0020138D" w:rsidRPr="0020138D" w:rsidRDefault="0020138D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20138D" w:rsidRPr="000C42D7" w14:paraId="2D330EA6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7164D7A4" w14:textId="7C350AA5" w:rsidR="0020138D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06" w:type="dxa"/>
                </w:tcPr>
                <w:p w14:paraId="44B1A497" w14:textId="77777777" w:rsidR="0020138D" w:rsidRDefault="0020138D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6E0411FD" w14:textId="250EE710" w:rsidR="0020138D" w:rsidRDefault="0020138D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检查并判断用户是否将协议全标记为“</w:t>
                  </w:r>
                  <w:r w:rsidR="006E6E11">
                    <w:rPr>
                      <w:rFonts w:hint="eastAsia"/>
                      <w:sz w:val="18"/>
                      <w:szCs w:val="18"/>
                    </w:rPr>
                    <w:t>已浏览</w:t>
                  </w:r>
                  <w:r>
                    <w:rPr>
                      <w:rFonts w:hint="eastAsia"/>
                      <w:sz w:val="18"/>
                      <w:szCs w:val="18"/>
                    </w:rPr>
                    <w:t>”</w:t>
                  </w:r>
                  <w:r w:rsidR="006E6E11">
                    <w:rPr>
                      <w:rFonts w:hint="eastAsia"/>
                      <w:sz w:val="18"/>
                      <w:szCs w:val="18"/>
                    </w:rPr>
                    <w:t>或者是标绿。若是则界面跳转至“入职协议签署页面”；若否，则跳出 “请将协议全部浏览” 的</w:t>
                  </w:r>
                  <w:r w:rsidR="006E6E11">
                    <w:rPr>
                      <w:rFonts w:hint="eastAsia"/>
                      <w:sz w:val="18"/>
                      <w:szCs w:val="18"/>
                    </w:rPr>
                    <w:t>提示弹窗</w:t>
                  </w:r>
                  <w:r w:rsidR="006E6E11">
                    <w:rPr>
                      <w:rFonts w:hint="eastAsia"/>
                      <w:sz w:val="18"/>
                      <w:szCs w:val="18"/>
                    </w:rPr>
                    <w:t>，直至用户全浏览。</w:t>
                  </w:r>
                </w:p>
              </w:tc>
            </w:tr>
            <w:tr w:rsidR="006E6E11" w:rsidRPr="000C42D7" w14:paraId="40569C1F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5205AC66" w14:textId="31DA9243" w:rsidR="006E6E11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06" w:type="dxa"/>
                </w:tcPr>
                <w:p w14:paraId="3EB3B1C7" w14:textId="6D8160E4" w:rsidR="006E6E11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在“入职协议签署页面”使用手指进行签署，最后点击“签署提交”按键</w:t>
                  </w:r>
                </w:p>
              </w:tc>
              <w:tc>
                <w:tcPr>
                  <w:tcW w:w="2290" w:type="dxa"/>
                </w:tcPr>
                <w:p w14:paraId="0EB7E847" w14:textId="77777777" w:rsidR="006E6E11" w:rsidRDefault="006E6E11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6E6E11" w:rsidRPr="000C42D7" w14:paraId="3B1F2A5F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6DDDC388" w14:textId="453673D4" w:rsidR="006E6E11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06" w:type="dxa"/>
                </w:tcPr>
                <w:p w14:paraId="6FA319CF" w14:textId="77777777" w:rsidR="006E6E11" w:rsidRDefault="006E6E11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5F221F7F" w14:textId="69141D5F" w:rsidR="006E6E11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检查输入页面是否为空白或无法识别，若是空白或无法识别，则跳出“请重新签署”的提示弹窗；若能识别，则弹出“签署成功”提示弹窗。</w:t>
                  </w:r>
                </w:p>
              </w:tc>
            </w:tr>
            <w:tr w:rsidR="00064BA3" w:rsidRPr="000C42D7" w14:paraId="733C5AB1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2C015247" w14:textId="701144A7" w:rsidR="00064BA3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06" w:type="dxa"/>
                </w:tcPr>
                <w:p w14:paraId="49BE29BC" w14:textId="6FD2B535" w:rsidR="00064BA3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点击“签署成功”弹窗中的“确定”按键</w:t>
                  </w:r>
                </w:p>
              </w:tc>
              <w:tc>
                <w:tcPr>
                  <w:tcW w:w="2290" w:type="dxa"/>
                </w:tcPr>
                <w:p w14:paraId="1F53F720" w14:textId="77777777" w:rsidR="00064BA3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064BA3" w:rsidRPr="000C42D7" w14:paraId="7578E75C" w14:textId="77777777" w:rsidTr="00F94BFD">
              <w:trPr>
                <w:trHeight w:val="284"/>
              </w:trPr>
              <w:tc>
                <w:tcPr>
                  <w:tcW w:w="2272" w:type="dxa"/>
                </w:tcPr>
                <w:p w14:paraId="61B77332" w14:textId="13858747" w:rsidR="00064BA3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06" w:type="dxa"/>
                </w:tcPr>
                <w:p w14:paraId="55CB4178" w14:textId="77777777" w:rsidR="00064BA3" w:rsidRDefault="00064BA3" w:rsidP="00F80A0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90" w:type="dxa"/>
                </w:tcPr>
                <w:p w14:paraId="719B7F8B" w14:textId="46272061" w:rsidR="00064BA3" w:rsidRDefault="00064BA3" w:rsidP="00F80A05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跳转至“工作台首页”</w:t>
                  </w:r>
                </w:p>
              </w:tc>
            </w:tr>
          </w:tbl>
          <w:p w14:paraId="74AD4CBC" w14:textId="77777777" w:rsidR="00F80A05" w:rsidRPr="00064BA3" w:rsidRDefault="00F80A05" w:rsidP="00F80A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4C24DD13" w14:textId="77777777" w:rsidR="00F80A05" w:rsidRDefault="00F80A05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  <w:p w14:paraId="29CA9E05" w14:textId="77777777" w:rsidR="00F80A05" w:rsidRDefault="00F80A05" w:rsidP="008715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15A8D6B" w14:textId="3D420BC7" w:rsidR="00F80A05" w:rsidRPr="00F6006B" w:rsidRDefault="00F80A05" w:rsidP="008715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F6006B" w:rsidRPr="00F6006B" w14:paraId="388C932E" w14:textId="77777777" w:rsidTr="00F6006B">
        <w:trPr>
          <w:trHeight w:val="312"/>
        </w:trPr>
        <w:tc>
          <w:tcPr>
            <w:tcW w:w="8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A9A3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6006B" w:rsidRPr="00F6006B" w14:paraId="386EA62B" w14:textId="77777777" w:rsidTr="00F6006B">
        <w:trPr>
          <w:trHeight w:val="312"/>
        </w:trPr>
        <w:tc>
          <w:tcPr>
            <w:tcW w:w="8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11B3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6006B" w:rsidRPr="00F6006B" w14:paraId="248F199F" w14:textId="77777777" w:rsidTr="00F6006B">
        <w:trPr>
          <w:trHeight w:val="312"/>
        </w:trPr>
        <w:tc>
          <w:tcPr>
            <w:tcW w:w="8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848F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6006B" w:rsidRPr="00F6006B" w14:paraId="69B80255" w14:textId="77777777" w:rsidTr="00F6006B">
        <w:trPr>
          <w:trHeight w:val="312"/>
        </w:trPr>
        <w:tc>
          <w:tcPr>
            <w:tcW w:w="8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C108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6006B" w:rsidRPr="00F6006B" w14:paraId="1A12C45A" w14:textId="77777777" w:rsidTr="00F6006B">
        <w:trPr>
          <w:trHeight w:val="312"/>
        </w:trPr>
        <w:tc>
          <w:tcPr>
            <w:tcW w:w="8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5A15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6006B" w:rsidRPr="00F6006B" w14:paraId="695FB88A" w14:textId="77777777" w:rsidTr="00F6006B">
        <w:trPr>
          <w:trHeight w:val="312"/>
        </w:trPr>
        <w:tc>
          <w:tcPr>
            <w:tcW w:w="8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79AD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6006B" w:rsidRPr="00F6006B" w14:paraId="20527AA8" w14:textId="77777777" w:rsidTr="00F6006B">
        <w:trPr>
          <w:trHeight w:val="312"/>
        </w:trPr>
        <w:tc>
          <w:tcPr>
            <w:tcW w:w="8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7660B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6006B" w:rsidRPr="00F6006B" w14:paraId="639D03E3" w14:textId="77777777" w:rsidTr="00F6006B">
        <w:trPr>
          <w:trHeight w:val="312"/>
        </w:trPr>
        <w:tc>
          <w:tcPr>
            <w:tcW w:w="8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D86" w14:textId="77777777" w:rsidR="00F6006B" w:rsidRPr="00F6006B" w:rsidRDefault="00F6006B" w:rsidP="00F600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13BDE12" w14:textId="30C32AD0" w:rsidR="00F6006B" w:rsidRDefault="00F6006B"/>
    <w:p w14:paraId="4A4E31F9" w14:textId="77777777" w:rsidR="00F6006B" w:rsidRDefault="00F6006B"/>
    <w:sectPr w:rsidR="00F60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366"/>
    <w:multiLevelType w:val="hybridMultilevel"/>
    <w:tmpl w:val="909C1AAE"/>
    <w:lvl w:ilvl="0" w:tplc="E6387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4B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D4E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07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0D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C5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48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8E4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72E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5564A"/>
    <w:multiLevelType w:val="hybridMultilevel"/>
    <w:tmpl w:val="909C1AAE"/>
    <w:lvl w:ilvl="0" w:tplc="E6387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4B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D4E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07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0D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C5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48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8E4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72E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6352E"/>
    <w:multiLevelType w:val="hybridMultilevel"/>
    <w:tmpl w:val="909C1AAE"/>
    <w:lvl w:ilvl="0" w:tplc="E6387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4B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D4E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07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0D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C5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48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8E4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72E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C1"/>
    <w:rsid w:val="00017DF8"/>
    <w:rsid w:val="00064BA3"/>
    <w:rsid w:val="000863E5"/>
    <w:rsid w:val="000D7F85"/>
    <w:rsid w:val="00181287"/>
    <w:rsid w:val="0020138D"/>
    <w:rsid w:val="002F561D"/>
    <w:rsid w:val="003A1A41"/>
    <w:rsid w:val="004859CD"/>
    <w:rsid w:val="00511F00"/>
    <w:rsid w:val="005264D5"/>
    <w:rsid w:val="006026C1"/>
    <w:rsid w:val="00670319"/>
    <w:rsid w:val="006E6E11"/>
    <w:rsid w:val="007C0D0B"/>
    <w:rsid w:val="008169B8"/>
    <w:rsid w:val="00871503"/>
    <w:rsid w:val="00926619"/>
    <w:rsid w:val="00991FD7"/>
    <w:rsid w:val="00B33C63"/>
    <w:rsid w:val="00BE2D89"/>
    <w:rsid w:val="00C43C42"/>
    <w:rsid w:val="00C61BD5"/>
    <w:rsid w:val="00CD38DC"/>
    <w:rsid w:val="00E75E4F"/>
    <w:rsid w:val="00F6006B"/>
    <w:rsid w:val="00F80A05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4FAA"/>
  <w15:chartTrackingRefBased/>
  <w15:docId w15:val="{7ABFB985-1FCA-427E-8D0C-723D00DB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卢</dc:creator>
  <cp:keywords/>
  <dc:description/>
  <cp:lastModifiedBy>勇 卢</cp:lastModifiedBy>
  <cp:revision>18</cp:revision>
  <dcterms:created xsi:type="dcterms:W3CDTF">2019-09-01T07:21:00Z</dcterms:created>
  <dcterms:modified xsi:type="dcterms:W3CDTF">2019-09-02T15:49:00Z</dcterms:modified>
</cp:coreProperties>
</file>