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4F69B" w14:textId="127E713B" w:rsidR="00113035" w:rsidRPr="00113035" w:rsidRDefault="00113035">
      <w:pPr>
        <w:rPr>
          <w:b/>
          <w:bCs/>
        </w:rPr>
      </w:pPr>
      <w:r w:rsidRPr="00113035">
        <w:rPr>
          <w:b/>
          <w:bCs/>
        </w:rPr>
        <w:t>Aims</w:t>
      </w:r>
    </w:p>
    <w:p w14:paraId="17CAA985" w14:textId="5A8E16AC" w:rsidR="00113035" w:rsidRDefault="00113035">
      <w:r>
        <w:t xml:space="preserve">Quantify the fitness cost of </w:t>
      </w:r>
      <w:r w:rsidRPr="00113035">
        <w:t>pyrethro</w:t>
      </w:r>
      <w:r>
        <w:t>i</w:t>
      </w:r>
      <w:r w:rsidRPr="00113035">
        <w:t>d</w:t>
      </w:r>
      <w:r>
        <w:t xml:space="preserve"> resistance conferred by the </w:t>
      </w:r>
      <w:proofErr w:type="spellStart"/>
      <w:r w:rsidRPr="00113035">
        <w:rPr>
          <w:i/>
          <w:iCs/>
        </w:rPr>
        <w:t>kdr</w:t>
      </w:r>
      <w:proofErr w:type="spellEnd"/>
      <w:r>
        <w:t xml:space="preserve"> mutation in RLEM using field trials</w:t>
      </w:r>
    </w:p>
    <w:p w14:paraId="1808B51B" w14:textId="77777777" w:rsidR="00113035" w:rsidRPr="00113035" w:rsidRDefault="00113035"/>
    <w:p w14:paraId="18E11781" w14:textId="485BDEE5" w:rsidR="00015990" w:rsidRPr="00113035" w:rsidRDefault="00113035">
      <w:pPr>
        <w:rPr>
          <w:b/>
          <w:bCs/>
        </w:rPr>
      </w:pPr>
      <w:r w:rsidRPr="00113035">
        <w:rPr>
          <w:b/>
          <w:bCs/>
        </w:rPr>
        <w:t>Data analysis methods</w:t>
      </w:r>
    </w:p>
    <w:p w14:paraId="0782DA7A" w14:textId="5CEC5569" w:rsidR="00113035" w:rsidRDefault="00113035">
      <w:r>
        <w:t>Two models were fit the data to quantify fitness costs</w:t>
      </w:r>
      <w:r w:rsidR="00D03191">
        <w:t xml:space="preserve"> of the resistant allele</w:t>
      </w:r>
      <w:r>
        <w:t xml:space="preserve">. The first was a statistical model controlling for repeated plot measurements through time </w:t>
      </w:r>
      <w:r w:rsidR="005760D4">
        <w:t xml:space="preserve">to estimate </w:t>
      </w:r>
      <w:r>
        <w:t>the rate</w:t>
      </w:r>
      <w:r w:rsidR="005760D4">
        <w:t>s</w:t>
      </w:r>
      <w:r>
        <w:t xml:space="preserve"> of decline</w:t>
      </w:r>
      <w:r w:rsidR="00D03191">
        <w:t xml:space="preserve"> in allele frequency</w:t>
      </w:r>
      <w:r>
        <w:t xml:space="preserve">. The second was a </w:t>
      </w:r>
      <w:r w:rsidR="00D03191">
        <w:t xml:space="preserve">population genetics </w:t>
      </w:r>
      <w:r>
        <w:t xml:space="preserve">model </w:t>
      </w:r>
      <w:r w:rsidR="00D03191">
        <w:t>with different levels of dominance of the resistant allele</w:t>
      </w:r>
      <w:r>
        <w:t xml:space="preserve"> to estimate relative fitness. </w:t>
      </w:r>
    </w:p>
    <w:p w14:paraId="3A83B1BF" w14:textId="77777777" w:rsidR="003E7FE6" w:rsidRDefault="003E7FE6" w:rsidP="00113035">
      <w:pPr>
        <w:rPr>
          <w:i/>
          <w:iCs/>
        </w:rPr>
      </w:pPr>
    </w:p>
    <w:p w14:paraId="015691D1" w14:textId="0036345E" w:rsidR="003D2863" w:rsidRPr="003D2863" w:rsidRDefault="003D2863" w:rsidP="00113035">
      <w:pPr>
        <w:rPr>
          <w:i/>
          <w:iCs/>
        </w:rPr>
      </w:pPr>
      <w:r w:rsidRPr="003D2863">
        <w:rPr>
          <w:i/>
          <w:iCs/>
        </w:rPr>
        <w:t xml:space="preserve">Statistical model </w:t>
      </w:r>
    </w:p>
    <w:p w14:paraId="69C38F39" w14:textId="15B10F26" w:rsidR="00567095" w:rsidRDefault="00113035" w:rsidP="00113035">
      <w:r>
        <w:t xml:space="preserve">The measured </w:t>
      </w:r>
      <w:r w:rsidR="00567095">
        <w:t xml:space="preserve">resistance allele </w:t>
      </w:r>
      <w:r>
        <w:t xml:space="preserve">frequency </w:t>
      </w:r>
      <w:r w:rsidR="00567095">
        <w:t xml:space="preserve">through time </w:t>
      </w:r>
      <w:proofErr w:type="spellStart"/>
      <w:r w:rsidR="005760D4" w:rsidRPr="00C810A3">
        <w:rPr>
          <w:i/>
          <w:iCs/>
        </w:rPr>
        <w:t>t</w:t>
      </w:r>
      <w:proofErr w:type="spellEnd"/>
      <w:r w:rsidR="005760D4">
        <w:t xml:space="preserve"> </w:t>
      </w:r>
      <w:r w:rsidR="00567095">
        <w:t>was</w:t>
      </w:r>
      <w:r>
        <w:t xml:space="preserve"> </w:t>
      </w:r>
      <w:r w:rsidR="00567095">
        <w:t xml:space="preserve">modelled using </w:t>
      </w:r>
      <w:r>
        <w:t xml:space="preserve">logistic regression with random effects for repeated </w:t>
      </w:r>
      <w:r w:rsidR="005760D4">
        <w:t xml:space="preserve">measures </w:t>
      </w:r>
      <w:r>
        <w:t>on plot</w:t>
      </w:r>
      <w:r w:rsidR="005760D4">
        <w:t>s</w:t>
      </w:r>
      <w:r w:rsidR="00567095">
        <w:t xml:space="preserve"> </w:t>
      </w:r>
      <w:r>
        <w:t>weighted by the number of alleles screened (</w:t>
      </w:r>
      <w:r w:rsidR="00567095">
        <w:t xml:space="preserve">i.e. twice the number of </w:t>
      </w:r>
      <w:r>
        <w:t>individual mites).</w:t>
      </w:r>
    </w:p>
    <w:p w14:paraId="725ED680" w14:textId="73768300" w:rsidR="00567095" w:rsidRDefault="003D2863" w:rsidP="00567095">
      <w:pPr>
        <w:spacing w:after="0"/>
      </w:pPr>
      <m:oMathPara>
        <m:oMath>
          <m:r>
            <w:rPr>
              <w:rFonts w:ascii="Cambria Math" w:hAnsi="Cambria Math"/>
            </w:rPr>
            <m:t>Y ~ Bernoulli(θ)</m:t>
          </m:r>
          <m:r>
            <m:rPr>
              <m:sty m:val="p"/>
            </m:rPr>
            <w:br/>
          </m:r>
        </m:oMath>
      </m:oMathPara>
    </w:p>
    <w:p w14:paraId="2C4A9673" w14:textId="034021B8" w:rsidR="00567095" w:rsidRPr="001D58E0" w:rsidRDefault="00567095" w:rsidP="00567095">
      <w:pPr>
        <w:spacing w:after="0"/>
        <w:rPr>
          <w:b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logit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/>
            </w:rPr>
            <m:t>α+β</m:t>
          </m:r>
          <m:r>
            <w:rPr>
              <w:rFonts w:ascii="Cambria Math" w:eastAsia="Times New Roman" w:hAnsi="Cambria Math"/>
            </w:rPr>
            <m:t>x</m:t>
          </m:r>
          <m:r>
            <w:rPr>
              <w:rFonts w:ascii="Cambria Math" w:eastAsia="Times New Roman" w:hAnsi="Cambria Math"/>
            </w:rPr>
            <m:t>+</m:t>
          </m:r>
          <w:bookmarkStart w:id="0" w:name="_Hlk49832872"/>
          <m:r>
            <w:rPr>
              <w:rFonts w:ascii="Cambria Math" w:eastAsia="Times New Roman" w:hAnsi="Cambria Math"/>
            </w:rPr>
            <m:t>γ</m:t>
          </m:r>
          <w:bookmarkEnd w:id="0"/>
          <m:r>
            <w:rPr>
              <w:rFonts w:ascii="Cambria Math" w:eastAsia="Times New Roman" w:hAnsi="Cambria Math"/>
            </w:rPr>
            <m:t>t</m:t>
          </m:r>
          <m:r>
            <w:rPr>
              <w:rFonts w:ascii="Cambria Math" w:eastAsia="Times New Roman" w:hAnsi="Cambria Math"/>
            </w:rPr>
            <m:t>+ϵ</m:t>
          </m:r>
        </m:oMath>
      </m:oMathPara>
    </w:p>
    <w:p w14:paraId="6600D8D3" w14:textId="56A096BC" w:rsidR="00113035" w:rsidRDefault="00113035" w:rsidP="00113035">
      <w:r>
        <w:t xml:space="preserve">  </w:t>
      </w:r>
    </w:p>
    <w:p w14:paraId="7EC20C12" w14:textId="449EDAD4" w:rsidR="00567095" w:rsidRDefault="00567095" w:rsidP="00113035">
      <w:pPr>
        <w:rPr>
          <w:rFonts w:eastAsia="Times New Roman"/>
          <w:iCs/>
        </w:rPr>
      </w:pPr>
      <w:r w:rsidRPr="009F2F48">
        <w:rPr>
          <w:rFonts w:eastAsia="Times New Roman"/>
          <w:iCs/>
        </w:rPr>
        <w:t xml:space="preserve">where </w:t>
      </w:r>
      <m:oMath>
        <m:r>
          <w:rPr>
            <w:rFonts w:ascii="Cambria Math" w:eastAsia="Times New Roman" w:hAnsi="Cambria Math"/>
          </w:rPr>
          <m:t>α</m:t>
        </m:r>
      </m:oMath>
      <w:r w:rsidR="005760D4">
        <w:rPr>
          <w:rFonts w:eastAsia="Times New Roman"/>
          <w:iCs/>
        </w:rPr>
        <w:t>,</w:t>
      </w:r>
      <w:r w:rsidR="00C810A3">
        <w:rPr>
          <w:rFonts w:eastAsia="Times New Roman"/>
          <w:iCs/>
        </w:rPr>
        <w:t xml:space="preserve"> </w:t>
      </w:r>
      <m:oMath>
        <m:r>
          <w:rPr>
            <w:rFonts w:ascii="Cambria Math" w:eastAsia="Times New Roman" w:hAnsi="Cambria Math"/>
          </w:rPr>
          <m:t>β</m:t>
        </m:r>
      </m:oMath>
      <w:r w:rsidRPr="009F2F48">
        <w:rPr>
          <w:rFonts w:eastAsia="Times New Roman"/>
          <w:iCs/>
        </w:rPr>
        <w:t xml:space="preserve"> </w:t>
      </w:r>
      <w:r w:rsidR="005760D4">
        <w:rPr>
          <w:rFonts w:eastAsia="Times New Roman"/>
          <w:iCs/>
        </w:rPr>
        <w:t xml:space="preserve">and </w:t>
      </w:r>
      <m:oMath>
        <m:r>
          <w:rPr>
            <w:rFonts w:ascii="Cambria Math" w:eastAsia="Times New Roman" w:hAnsi="Cambria Math"/>
          </w:rPr>
          <m:t>γ</m:t>
        </m:r>
      </m:oMath>
      <w:r w:rsidR="005760D4" w:rsidRPr="009F2F48">
        <w:rPr>
          <w:rFonts w:eastAsia="Times New Roman"/>
          <w:iCs/>
        </w:rPr>
        <w:t xml:space="preserve"> </w:t>
      </w:r>
      <w:r w:rsidRPr="009F2F48">
        <w:rPr>
          <w:rFonts w:eastAsia="Times New Roman"/>
          <w:iCs/>
        </w:rPr>
        <w:t xml:space="preserve">are parameters, </w:t>
      </w:r>
      <m:oMath>
        <m:r>
          <w:rPr>
            <w:rFonts w:ascii="Cambria Math" w:eastAsia="Times New Roman" w:hAnsi="Cambria Math"/>
          </w:rPr>
          <m:t>x</m:t>
        </m:r>
      </m:oMath>
      <w:r w:rsidRPr="009F2F48">
        <w:rPr>
          <w:rFonts w:eastAsia="Times New Roman"/>
          <w:iCs/>
        </w:rPr>
        <w:t xml:space="preserve"> denotes </w:t>
      </w:r>
      <w:r>
        <w:rPr>
          <w:rFonts w:eastAsia="Times New Roman"/>
          <w:iCs/>
        </w:rPr>
        <w:t>the trial location</w:t>
      </w:r>
      <w:r w:rsidRPr="009F2F48">
        <w:rPr>
          <w:rFonts w:eastAsia="Times New Roman"/>
          <w:iCs/>
        </w:rPr>
        <w:t xml:space="preserve"> </w:t>
      </w:r>
      <m:oMath>
        <m:r>
          <w:rPr>
            <w:rFonts w:ascii="Cambria Math" w:eastAsia="Times New Roman" w:hAnsi="Cambria Math"/>
          </w:rPr>
          <m:t>(</m:t>
        </m:r>
      </m:oMath>
      <w:r w:rsidR="00C810A3">
        <w:rPr>
          <w:rFonts w:eastAsia="Times New Roman"/>
        </w:rPr>
        <w:t>Arthur River</w:t>
      </w:r>
      <w:r w:rsidRPr="009F2F48">
        <w:rPr>
          <w:rFonts w:eastAsia="Times New Roman"/>
        </w:rPr>
        <w:t xml:space="preserve"> = </w:t>
      </w:r>
      <w:r w:rsidR="00C810A3" w:rsidRPr="009F2F48">
        <w:rPr>
          <w:rFonts w:eastAsia="Times New Roman"/>
        </w:rPr>
        <w:t xml:space="preserve">1, </w:t>
      </w:r>
      <w:r w:rsidR="00C810A3">
        <w:rPr>
          <w:rFonts w:eastAsia="Times New Roman"/>
        </w:rPr>
        <w:t xml:space="preserve">Tintinara </w:t>
      </w:r>
      <w:r w:rsidRPr="009F2F48">
        <w:rPr>
          <w:rFonts w:eastAsia="Times New Roman"/>
        </w:rPr>
        <w:t xml:space="preserve">= </w:t>
      </w:r>
      <w:r w:rsidRPr="009F2F48">
        <w:rPr>
          <w:rFonts w:eastAsia="Times New Roman"/>
          <w:iCs/>
        </w:rPr>
        <w:t>0),</w:t>
      </w:r>
      <w:r w:rsidR="003D2863">
        <w:rPr>
          <w:rFonts w:eastAsia="Times New Roman"/>
          <w:iCs/>
        </w:rPr>
        <w:t xml:space="preserve"> </w:t>
      </w:r>
      <m:oMath>
        <m:r>
          <w:rPr>
            <w:rFonts w:ascii="Cambria Math" w:eastAsia="Times New Roman" w:hAnsi="Cambria Math"/>
          </w:rPr>
          <m:t>t</m:t>
        </m:r>
      </m:oMath>
      <w:r w:rsidR="003D2863">
        <w:rPr>
          <w:rFonts w:eastAsia="Times New Roman"/>
          <w:iCs/>
        </w:rPr>
        <w:t xml:space="preserve"> denotes the normalise</w:t>
      </w:r>
      <w:r w:rsidR="005760D4">
        <w:rPr>
          <w:rFonts w:eastAsia="Times New Roman"/>
          <w:iCs/>
        </w:rPr>
        <w:t>d</w:t>
      </w:r>
      <w:r w:rsidR="003D2863">
        <w:rPr>
          <w:rFonts w:eastAsia="Times New Roman"/>
          <w:iCs/>
        </w:rPr>
        <w:t xml:space="preserve"> time since trial commencement</w:t>
      </w:r>
      <w:r w:rsidRPr="009F2F48">
        <w:rPr>
          <w:rFonts w:eastAsia="Times New Roman"/>
          <w:iCs/>
        </w:rPr>
        <w:t xml:space="preserve"> with random effects</w:t>
      </w:r>
      <w:r w:rsidR="003D2863">
        <w:rPr>
          <w:rFonts w:eastAsia="Times New Roman"/>
          <w:iCs/>
        </w:rPr>
        <w:t xml:space="preserve"> for each</w:t>
      </w:r>
      <w:r w:rsidRPr="009F2F48">
        <w:rPr>
          <w:rFonts w:eastAsia="Times New Roman"/>
          <w:iCs/>
        </w:rPr>
        <w:t xml:space="preserve"> </w:t>
      </w:r>
      <w:r w:rsidR="003D2863">
        <w:rPr>
          <w:rFonts w:eastAsia="Times New Roman"/>
          <w:iCs/>
        </w:rPr>
        <w:t>plot</w:t>
      </w:r>
      <w:r w:rsidRPr="009F2F48">
        <w:rPr>
          <w:rFonts w:eastAsia="Times New Roman"/>
          <w:iCs/>
        </w:rPr>
        <w:t xml:space="preserve"> </w:t>
      </w:r>
      <m:oMath>
        <m:r>
          <w:rPr>
            <w:rFonts w:ascii="Cambria Math" w:eastAsia="Times New Roman" w:hAnsi="Cambria Math"/>
          </w:rPr>
          <m:t>ϵ</m:t>
        </m:r>
      </m:oMath>
      <w:r w:rsidRPr="009F2F48">
        <w:rPr>
          <w:rFonts w:eastAsia="Times New Roman"/>
          <w:iCs/>
        </w:rPr>
        <w:t>.</w:t>
      </w:r>
      <w:r w:rsidR="003D2863">
        <w:rPr>
          <w:rFonts w:eastAsia="Times New Roman"/>
          <w:iCs/>
        </w:rPr>
        <w:t xml:space="preserve"> </w:t>
      </w:r>
    </w:p>
    <w:p w14:paraId="08477D53" w14:textId="58A3AAF4" w:rsidR="003D2863" w:rsidRDefault="005760D4" w:rsidP="00113035">
      <w:pPr>
        <w:rPr>
          <w:rFonts w:eastAsia="Times New Roman"/>
          <w:iCs/>
        </w:rPr>
      </w:pPr>
      <w:r>
        <w:rPr>
          <w:rFonts w:eastAsia="Times New Roman"/>
          <w:iCs/>
        </w:rPr>
        <w:t>S</w:t>
      </w:r>
      <w:r w:rsidR="003D2863">
        <w:rPr>
          <w:rFonts w:eastAsia="Times New Roman"/>
          <w:iCs/>
        </w:rPr>
        <w:t xml:space="preserve">impler models omitting covariates and more complex models </w:t>
      </w:r>
      <w:r>
        <w:rPr>
          <w:rFonts w:eastAsia="Times New Roman"/>
          <w:iCs/>
        </w:rPr>
        <w:t xml:space="preserve">that included </w:t>
      </w:r>
      <w:r w:rsidR="003D2863">
        <w:rPr>
          <w:rFonts w:eastAsia="Times New Roman"/>
          <w:iCs/>
        </w:rPr>
        <w:t xml:space="preserve">interactions did not yield lower AIC scores. </w:t>
      </w:r>
    </w:p>
    <w:p w14:paraId="0C5DA957" w14:textId="77777777" w:rsidR="003E7FE6" w:rsidRDefault="003E7FE6">
      <w:pPr>
        <w:rPr>
          <w:i/>
          <w:iCs/>
        </w:rPr>
      </w:pPr>
    </w:p>
    <w:p w14:paraId="4406E1CE" w14:textId="3DEB7113" w:rsidR="00113035" w:rsidRDefault="003D2863">
      <w:pPr>
        <w:rPr>
          <w:i/>
          <w:iCs/>
        </w:rPr>
      </w:pPr>
      <w:r w:rsidRPr="003D2863">
        <w:rPr>
          <w:i/>
          <w:iCs/>
        </w:rPr>
        <w:t>Population genetics model</w:t>
      </w:r>
    </w:p>
    <w:p w14:paraId="17E92EB7" w14:textId="000C0CDA" w:rsidR="00B74F69" w:rsidRPr="00B74F69" w:rsidRDefault="00AD2DB3">
      <w:r>
        <w:t xml:space="preserve">We assume </w:t>
      </w:r>
      <w:r w:rsidR="00B74F69">
        <w:t>Hardy-Weinberg ratios</w:t>
      </w:r>
      <w:r>
        <w:t xml:space="preserve"> after random mating following selection in the previous generation. In the new round of selection in the current generation, </w:t>
      </w:r>
      <w:r w:rsidR="00B74F69">
        <w:t xml:space="preserve">the mean fitness of a population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C810A3">
        <w:t xml:space="preserve"> </w:t>
      </w:r>
      <w:r w:rsidR="00B74F69">
        <w:t xml:space="preserve">can </w:t>
      </w:r>
      <w:r>
        <w:t xml:space="preserve">then </w:t>
      </w:r>
      <w:r w:rsidR="00B74F69">
        <w:t xml:space="preserve">be calculated from the proportion of resistance alleles in a population, </w:t>
      </w:r>
      <m:oMath>
        <m:r>
          <w:rPr>
            <w:rFonts w:ascii="Cambria Math" w:hAnsi="Cambria Math"/>
          </w:rPr>
          <m:t>p</m:t>
        </m:r>
      </m:oMath>
      <w:r w:rsidR="00B74F69">
        <w:t xml:space="preserve"> (and susceptible alleles, </w:t>
      </w:r>
      <m:oMath>
        <m:r>
          <w:rPr>
            <w:rFonts w:ascii="Cambria Math" w:hAnsi="Cambria Math"/>
          </w:rPr>
          <m:t>q = 1 - p</m:t>
        </m:r>
      </m:oMath>
      <w:r w:rsidR="00B74F69">
        <w:t xml:space="preserve">), as well as the relative fitness for each genotype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 w:cs="Cambria Math"/>
              </w:rPr>
              <m:t>RR</m:t>
            </m:r>
          </m:sub>
        </m:sSub>
      </m:oMath>
      <w:r w:rsidR="00B74F69">
        <w:t xml:space="preserve">,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 w:cs="Cambria Math"/>
              </w:rPr>
              <m:t>RS</m:t>
            </m:r>
          </m:sub>
        </m:sSub>
      </m:oMath>
      <w:r w:rsidR="00B74F69">
        <w:t xml:space="preserve">, </w:t>
      </w:r>
      <w:r w:rsidR="00CC2DCD">
        <w:t xml:space="preserve">and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 w:cs="Cambria Math"/>
              </w:rPr>
              <m:t>SS</m:t>
            </m:r>
          </m:sub>
        </m:sSub>
      </m:oMath>
      <w:r w:rsidR="00B74F69">
        <w:t>:</w:t>
      </w:r>
    </w:p>
    <w:p w14:paraId="1A536D18" w14:textId="1DB37AAB" w:rsidR="003D2863" w:rsidRPr="00B74F69" w:rsidRDefault="00732328" w:rsidP="003D286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p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</m:e>
            <m:sub>
              <m:r>
                <w:rPr>
                  <w:rFonts w:ascii="Cambria Math" w:hAnsi="Cambria Math" w:cs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 w:cs="Cambria Math"/>
            </w:rPr>
            <m:t>2pq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</m:e>
            <m:sub>
              <m:r>
                <w:rPr>
                  <w:rFonts w:ascii="Cambria Math" w:hAnsi="Cambria Math" w:cs="Cambria Math"/>
                </w:rPr>
                <m:t>RS</m:t>
              </m:r>
            </m:sub>
          </m:sSub>
          <m:r>
            <w:rPr>
              <w:rFonts w:ascii="Cambria Math" w:hAnsi="Cambria Math"/>
            </w:rPr>
            <m:t xml:space="preserve"> +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</m:e>
            <m:sub>
              <m:r>
                <w:rPr>
                  <w:rFonts w:ascii="Cambria Math" w:hAnsi="Cambria Math" w:cs="Cambria Math"/>
                </w:rPr>
                <m:t>SS</m:t>
              </m:r>
            </m:sub>
          </m:sSub>
        </m:oMath>
      </m:oMathPara>
    </w:p>
    <w:p w14:paraId="369DFE1B" w14:textId="65A7CDD0" w:rsidR="00CC2DCD" w:rsidRDefault="0027732C" w:rsidP="00B74F69">
      <w:r>
        <w:t xml:space="preserve">Assuming the relative fitness of the homozygous susceptible genotype to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 1</m:t>
        </m:r>
      </m:oMath>
      <w:r>
        <w:t xml:space="preserve">, </w:t>
      </w:r>
      <w:r w:rsidR="00CC2DCD">
        <w:t>the</w:t>
      </w:r>
      <w:r>
        <w:t xml:space="preserve"> resistant allele frequency in the next generation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can thus be calculated as:  </w:t>
      </w:r>
      <w:r w:rsidR="00CC2DCD">
        <w:t xml:space="preserve"> </w:t>
      </w:r>
    </w:p>
    <w:p w14:paraId="49756D59" w14:textId="7357355A" w:rsidR="00CC2DCD" w:rsidRDefault="00732328" w:rsidP="00B74F69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RR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/>
            </w:rPr>
            <m:t xml:space="preserve">  + pq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RS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den>
          </m:f>
        </m:oMath>
      </m:oMathPara>
    </w:p>
    <w:p w14:paraId="15EAC12C" w14:textId="053A2C88" w:rsidR="00CC2DCD" w:rsidRDefault="00283142" w:rsidP="00B74F69">
      <w:r>
        <w:t xml:space="preserve">The </w:t>
      </w:r>
      <w:r w:rsidR="00CC2DCD">
        <w:t xml:space="preserve">dominance of fitness costs </w:t>
      </w:r>
      <w:bookmarkStart w:id="1" w:name="_Hlk49833579"/>
      <m:oMath>
        <m:r>
          <w:rPr>
            <w:rFonts w:ascii="Cambria Math" w:hAnsi="Cambria Math"/>
          </w:rPr>
          <m:t>h</m:t>
        </m:r>
        <w:bookmarkEnd w:id="1"/>
        <m:r>
          <w:rPr>
            <w:rFonts w:ascii="Cambria Math" w:hAnsi="Cambria Math"/>
          </w:rPr>
          <m:t xml:space="preserve"> </m:t>
        </m:r>
      </m:oMath>
      <w:r>
        <w:t xml:space="preserve">can be </w:t>
      </w:r>
      <w:r w:rsidR="00AD2DB3">
        <w:t>set to determine</w:t>
      </w:r>
      <w:r>
        <w:t xml:space="preserve"> the </w:t>
      </w:r>
      <w:r w:rsidR="00CC2DCD">
        <w:t>relative fitness of heterozygotes as:</w:t>
      </w:r>
    </w:p>
    <w:p w14:paraId="5B633D5D" w14:textId="08E6F371" w:rsidR="00B74F69" w:rsidRDefault="00732328" w:rsidP="00CC2DCD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  <m:r>
          <w:rPr>
            <w:rFonts w:ascii="Cambria Math" w:hAnsi="Cambria Math"/>
          </w:rPr>
          <m:t xml:space="preserve"> =h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RR</m:t>
            </m:r>
          </m:sub>
        </m:sSub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1 - </m:t>
            </m:r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 w:rsidR="00AD2DB3">
        <w:t>,</w:t>
      </w:r>
    </w:p>
    <w:p w14:paraId="369C7EC9" w14:textId="32F37886" w:rsidR="00283142" w:rsidRDefault="00AD2DB3" w:rsidP="003D2863">
      <w:r>
        <w:t xml:space="preserve">with </w:t>
      </w:r>
      <m:oMath>
        <m:r>
          <w:rPr>
            <w:rFonts w:ascii="Cambria Math" w:hAnsi="Cambria Math"/>
          </w:rPr>
          <m:t>h</m:t>
        </m:r>
      </m:oMath>
      <w:r>
        <w:t xml:space="preserve"> = 1 indicating dominance for the resistant allele and </w:t>
      </w:r>
      <m:oMath>
        <m:r>
          <w:rPr>
            <w:rFonts w:ascii="Cambria Math" w:hAnsi="Cambria Math"/>
          </w:rPr>
          <m:t>h</m:t>
        </m:r>
      </m:oMath>
      <w:r>
        <w:t xml:space="preserve"> = 0 indicating dominance for the recessive allele.</w:t>
      </w:r>
    </w:p>
    <w:p w14:paraId="25B7BD67" w14:textId="0D8648C6" w:rsidR="008C108B" w:rsidRDefault="00283142" w:rsidP="00F76DD2">
      <w:r>
        <w:lastRenderedPageBreak/>
        <w:t xml:space="preserve">The parameters </w:t>
      </w:r>
      <w:r w:rsidR="00AD2DB3">
        <w:t>to vary are therefore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RR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h</m:t>
        </m:r>
      </m:oMath>
      <w:r>
        <w:t xml:space="preserve">, and the </w:t>
      </w:r>
      <w:r w:rsidR="008C108B">
        <w:t>starting allele frequency of resistance at each field site</w:t>
      </w:r>
      <w:r w:rsidR="00AD2DB3">
        <w:t>,</w:t>
      </w:r>
      <w:r w:rsidR="00F76D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C108B">
        <w:t>, which can be estimated from data using non-linear least squares regression.</w:t>
      </w:r>
      <w:r w:rsidR="00F76DD2">
        <w:t xml:space="preserve"> Dates are converted to generation by assuming three</w:t>
      </w:r>
      <w:r w:rsidR="00C810A3">
        <w:t xml:space="preserve"> evenly spaced</w:t>
      </w:r>
      <w:r w:rsidR="00F76DD2">
        <w:t xml:space="preserve"> generations per year with no development during diapause from Nov-April. </w:t>
      </w:r>
    </w:p>
    <w:p w14:paraId="6D6A265F" w14:textId="77777777" w:rsidR="008C108B" w:rsidRDefault="008C108B" w:rsidP="003D2863"/>
    <w:p w14:paraId="10FFB6AE" w14:textId="3D0FEE47" w:rsidR="000E54AA" w:rsidRPr="000E54AA" w:rsidRDefault="008C108B" w:rsidP="003D2863">
      <w:pPr>
        <w:rPr>
          <w:b/>
          <w:bCs/>
        </w:rPr>
      </w:pPr>
      <w:r w:rsidRPr="008C108B">
        <w:rPr>
          <w:b/>
          <w:bCs/>
        </w:rPr>
        <w:t>Results</w:t>
      </w:r>
    </w:p>
    <w:p w14:paraId="467D6940" w14:textId="77777777" w:rsidR="00891BE6" w:rsidRDefault="00891BE6" w:rsidP="000E54AA">
      <w:pPr>
        <w:pStyle w:val="ListParagraph"/>
        <w:numPr>
          <w:ilvl w:val="0"/>
          <w:numId w:val="1"/>
        </w:numPr>
      </w:pPr>
      <w:r>
        <w:t>Trial l</w:t>
      </w:r>
      <w:r w:rsidRPr="00891BE6">
        <w:t>ocation</w:t>
      </w:r>
      <w:r>
        <w:t xml:space="preserve"> and time significantly improved the model compared with simpler models that omitted these variables (Table X)</w:t>
      </w:r>
    </w:p>
    <w:p w14:paraId="01F4F848" w14:textId="70151CD0" w:rsidR="00891BE6" w:rsidRDefault="00891BE6" w:rsidP="000E54AA">
      <w:pPr>
        <w:pStyle w:val="ListParagraph"/>
        <w:numPr>
          <w:ilvl w:val="0"/>
          <w:numId w:val="1"/>
        </w:numPr>
      </w:pPr>
      <w:r>
        <w:t xml:space="preserve">The estimated coefficient for the Tintinara location was significantly negative confirming the lower rates of resistance at this site (Table Y, </w:t>
      </w:r>
      <w:r>
        <w:t>Figure X</w:t>
      </w:r>
      <w:r>
        <w:t>)</w:t>
      </w:r>
    </w:p>
    <w:p w14:paraId="771CD33D" w14:textId="653B4A4F" w:rsidR="000E54AA" w:rsidRDefault="00891BE6" w:rsidP="000E54AA">
      <w:pPr>
        <w:pStyle w:val="ListParagraph"/>
        <w:numPr>
          <w:ilvl w:val="0"/>
          <w:numId w:val="1"/>
        </w:numPr>
      </w:pPr>
      <w:r>
        <w:t xml:space="preserve">The estimated coefficient for time was significantly negative indicating a decreasing proportion of </w:t>
      </w:r>
      <w:proofErr w:type="spellStart"/>
      <w:r w:rsidRPr="00891BE6">
        <w:rPr>
          <w:i/>
          <w:iCs/>
        </w:rPr>
        <w:t>kdr</w:t>
      </w:r>
      <w:proofErr w:type="spellEnd"/>
      <w:r>
        <w:t xml:space="preserve"> alleles in the populations through time </w:t>
      </w:r>
      <w:r>
        <w:t>(Table Y</w:t>
      </w:r>
      <w:r>
        <w:t>, Figure X</w:t>
      </w:r>
      <w:r>
        <w:t>)</w:t>
      </w:r>
    </w:p>
    <w:p w14:paraId="2E9EA4B1" w14:textId="00274F1E" w:rsidR="00891BE6" w:rsidRDefault="00891BE6" w:rsidP="00C12CA5">
      <w:pPr>
        <w:pStyle w:val="ListParagraph"/>
        <w:numPr>
          <w:ilvl w:val="0"/>
          <w:numId w:val="1"/>
        </w:numPr>
      </w:pPr>
      <w:r>
        <w:t xml:space="preserve">The relative fitness costs of resistance of homozygous resistant individuals was able to be estimated with high degree of confidence with a mean and 95% confidence interval of </w:t>
      </w:r>
      <m:oMath>
        <m:r>
          <w:rPr>
            <w:rFonts w:ascii="Cambria Math" w:eastAsia="Times New Roman" w:hAnsi="Cambria Math" w:cs="Calibri"/>
            <w:color w:val="000000"/>
          </w:rPr>
          <w:br/>
        </m:r>
        <m:sSub>
          <m:sSubPr>
            <m:ctrlPr>
              <w:rPr>
                <w:rFonts w:ascii="Cambria Math" w:eastAsia="Times New Roman" w:hAnsi="Cambria Math" w:cs="Calibr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RR</m:t>
            </m:r>
          </m:sub>
        </m:sSub>
      </m:oMath>
      <w:r>
        <w:t xml:space="preserve"> = </w:t>
      </w:r>
      <w:r>
        <w:t>0.87</w:t>
      </w:r>
      <w:r>
        <w:t xml:space="preserve"> </w:t>
      </w:r>
      <w:r>
        <w:t>[0.81. 0.93]</w:t>
      </w:r>
    </w:p>
    <w:p w14:paraId="75214930" w14:textId="316D33E7" w:rsidR="00891BE6" w:rsidRPr="00891BE6" w:rsidRDefault="00891BE6" w:rsidP="00C12CA5">
      <w:pPr>
        <w:pStyle w:val="ListParagraph"/>
        <w:numPr>
          <w:ilvl w:val="0"/>
          <w:numId w:val="1"/>
        </w:numPr>
      </w:pPr>
      <w:r>
        <w:t xml:space="preserve">In contrast, while the best fit value for dominance was intermediate </w:t>
      </w:r>
      <w:r w:rsidRPr="00891BE6">
        <w:rPr>
          <w:i/>
          <w:iCs/>
        </w:rPr>
        <w:t>h</w:t>
      </w:r>
      <w:r>
        <w:t xml:space="preserve"> = 0.7 </w:t>
      </w:r>
      <w:r w:rsidRPr="00960F2E">
        <w:rPr>
          <w:rFonts w:ascii="Calibri" w:eastAsia="Times New Roman" w:hAnsi="Calibri" w:cs="Calibri"/>
          <w:color w:val="000000"/>
        </w:rPr>
        <w:t>[0.06. 1.</w:t>
      </w:r>
      <w:r>
        <w:rPr>
          <w:rFonts w:ascii="Calibri" w:eastAsia="Times New Roman" w:hAnsi="Calibri" w:cs="Calibri"/>
          <w:color w:val="000000"/>
        </w:rPr>
        <w:t>00</w:t>
      </w:r>
      <w:r w:rsidRPr="00960F2E">
        <w:rPr>
          <w:rFonts w:ascii="Calibri" w:eastAsia="Times New Roman" w:hAnsi="Calibri" w:cs="Calibri"/>
          <w:color w:val="000000"/>
        </w:rPr>
        <w:t>]</w:t>
      </w:r>
      <w:r>
        <w:t>, excluding zero at the 95% confidence level, the relationship was relatively insensitive to other levels of dominance (Table Z, Figure Y)</w:t>
      </w:r>
    </w:p>
    <w:p w14:paraId="7317E0DC" w14:textId="77777777" w:rsidR="000E54AA" w:rsidRDefault="000E54AA" w:rsidP="003D2863">
      <w:pPr>
        <w:rPr>
          <w:b/>
          <w:bCs/>
        </w:rPr>
      </w:pPr>
    </w:p>
    <w:p w14:paraId="6C107A0F" w14:textId="7C2DD4FB" w:rsidR="00F76DD2" w:rsidRDefault="00F76DD2" w:rsidP="003D2863">
      <w:pPr>
        <w:rPr>
          <w:b/>
          <w:bCs/>
        </w:rPr>
      </w:pPr>
      <w:r>
        <w:rPr>
          <w:b/>
          <w:bCs/>
        </w:rPr>
        <w:t>Table</w:t>
      </w:r>
      <w:r w:rsidR="00891BE6">
        <w:rPr>
          <w:b/>
          <w:bCs/>
        </w:rPr>
        <w:t xml:space="preserve"> X</w:t>
      </w:r>
      <w:r>
        <w:rPr>
          <w:b/>
          <w:bCs/>
        </w:rPr>
        <w:t xml:space="preserve">. </w:t>
      </w:r>
      <w:r w:rsidR="000E54AA" w:rsidRPr="000E54AA">
        <w:t>Lo</w:t>
      </w:r>
      <w:r w:rsidR="000E54AA">
        <w:t>gistic m</w:t>
      </w:r>
      <w:r w:rsidR="000E54AA" w:rsidRPr="000E54AA">
        <w:t>ixed-effe</w:t>
      </w:r>
      <w:r w:rsidR="000E54AA">
        <w:t>ct m</w:t>
      </w:r>
      <w:r w:rsidRPr="00F76DD2">
        <w:t>odel comparison</w:t>
      </w:r>
    </w:p>
    <w:tbl>
      <w:tblPr>
        <w:tblStyle w:val="PlainTable4"/>
        <w:tblW w:w="7855" w:type="dxa"/>
        <w:jc w:val="center"/>
        <w:tblLook w:val="04A0" w:firstRow="1" w:lastRow="0" w:firstColumn="1" w:lastColumn="0" w:noHBand="0" w:noVBand="1"/>
      </w:tblPr>
      <w:tblGrid>
        <w:gridCol w:w="2047"/>
        <w:gridCol w:w="960"/>
        <w:gridCol w:w="960"/>
        <w:gridCol w:w="1008"/>
        <w:gridCol w:w="1161"/>
        <w:gridCol w:w="960"/>
        <w:gridCol w:w="1122"/>
      </w:tblGrid>
      <w:tr w:rsidR="00F76DD2" w:rsidRPr="00F76DD2" w14:paraId="1D4D8286" w14:textId="77777777" w:rsidTr="00960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noWrap/>
            <w:hideMark/>
          </w:tcPr>
          <w:p w14:paraId="29F0AAF2" w14:textId="1F78A936" w:rsidR="00F76DD2" w:rsidRPr="00F76DD2" w:rsidRDefault="00F76DD2" w:rsidP="00F76DD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960" w:type="dxa"/>
            <w:noWrap/>
            <w:hideMark/>
          </w:tcPr>
          <w:p w14:paraId="10DAC8AE" w14:textId="77777777" w:rsidR="00F76DD2" w:rsidRPr="00F76DD2" w:rsidRDefault="00F76DD2" w:rsidP="00F76D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noWrap/>
            <w:hideMark/>
          </w:tcPr>
          <w:p w14:paraId="3451689E" w14:textId="539DB02E" w:rsidR="00F76DD2" w:rsidRPr="00F76DD2" w:rsidRDefault="00F76DD2" w:rsidP="00F76D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AIC</w:t>
            </w:r>
          </w:p>
        </w:tc>
        <w:tc>
          <w:tcPr>
            <w:tcW w:w="1008" w:type="dxa"/>
            <w:noWrap/>
            <w:hideMark/>
          </w:tcPr>
          <w:p w14:paraId="32275216" w14:textId="148F2C28" w:rsidR="00F76DD2" w:rsidRPr="00F76DD2" w:rsidRDefault="00F76DD2" w:rsidP="00F76D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m:oMath>
              <m:r>
                <m:rPr>
                  <m:sty m:val="b"/>
                </m:rPr>
                <w:rPr>
                  <w:rFonts w:ascii="Cambria Math" w:eastAsia="Times New Roman" w:hAnsi="Cambria Math" w:cs="Calibri"/>
                  <w:color w:val="000000"/>
                </w:rPr>
                <m:t>Δ</m:t>
              </m:r>
            </m:oMath>
            <w:r w:rsidRPr="00F76DD2">
              <w:rPr>
                <w:rFonts w:ascii="Calibri" w:eastAsia="Times New Roman" w:hAnsi="Calibri" w:cs="Calibri"/>
                <w:color w:val="000000"/>
              </w:rPr>
              <w:t>AIC</w:t>
            </w:r>
          </w:p>
        </w:tc>
        <w:tc>
          <w:tcPr>
            <w:tcW w:w="960" w:type="dxa"/>
            <w:noWrap/>
            <w:hideMark/>
          </w:tcPr>
          <w:p w14:paraId="2984E3EB" w14:textId="610ED3BD" w:rsidR="00F76DD2" w:rsidRPr="00F76DD2" w:rsidRDefault="00F76DD2" w:rsidP="00F76D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Model Likelihood</w:t>
            </w:r>
          </w:p>
        </w:tc>
        <w:tc>
          <w:tcPr>
            <w:tcW w:w="960" w:type="dxa"/>
            <w:noWrap/>
            <w:hideMark/>
          </w:tcPr>
          <w:p w14:paraId="068A9209" w14:textId="77777777" w:rsidR="00F76DD2" w:rsidRDefault="00F76DD2" w:rsidP="00F76D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AIC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6A28849C" w14:textId="0E3EEBD3" w:rsidR="00F76DD2" w:rsidRPr="00F76DD2" w:rsidRDefault="00F76DD2" w:rsidP="00F76D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W</w:t>
            </w:r>
            <w:r>
              <w:rPr>
                <w:rFonts w:ascii="Calibri" w:eastAsia="Times New Roman" w:hAnsi="Calibri" w:cs="Calibri"/>
                <w:color w:val="000000"/>
              </w:rPr>
              <w:t>eigh</w:t>
            </w:r>
            <w:r w:rsidRPr="00F76DD2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2F74577F" w14:textId="01D1347C" w:rsidR="00F76DD2" w:rsidRPr="00F76DD2" w:rsidRDefault="00F76DD2" w:rsidP="00F76D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Log-likelihood</w:t>
            </w:r>
          </w:p>
        </w:tc>
      </w:tr>
      <w:tr w:rsidR="00F76DD2" w:rsidRPr="00F76DD2" w14:paraId="00FDBAB2" w14:textId="77777777" w:rsidTr="00960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noWrap/>
            <w:hideMark/>
          </w:tcPr>
          <w:p w14:paraId="41950AEC" w14:textId="77777777" w:rsidR="00F76DD2" w:rsidRPr="00F76DD2" w:rsidRDefault="00F76DD2" w:rsidP="00F76DD2">
            <w:pPr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 xml:space="preserve">Loc + Time </w:t>
            </w:r>
          </w:p>
        </w:tc>
        <w:tc>
          <w:tcPr>
            <w:tcW w:w="960" w:type="dxa"/>
            <w:noWrap/>
            <w:hideMark/>
          </w:tcPr>
          <w:p w14:paraId="0DD0DB13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0712B7D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1951.0</w:t>
            </w:r>
          </w:p>
        </w:tc>
        <w:tc>
          <w:tcPr>
            <w:tcW w:w="1008" w:type="dxa"/>
            <w:noWrap/>
            <w:hideMark/>
          </w:tcPr>
          <w:p w14:paraId="309E2E1B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3F5B9787" w14:textId="62D8EE05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960" w:type="dxa"/>
            <w:noWrap/>
            <w:hideMark/>
          </w:tcPr>
          <w:p w14:paraId="37D0E817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960" w:type="dxa"/>
            <w:noWrap/>
            <w:hideMark/>
          </w:tcPr>
          <w:p w14:paraId="64649039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-971.4</w:t>
            </w:r>
          </w:p>
        </w:tc>
      </w:tr>
      <w:tr w:rsidR="00F76DD2" w:rsidRPr="00F76DD2" w14:paraId="52A0A269" w14:textId="77777777" w:rsidTr="00960F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noWrap/>
            <w:hideMark/>
          </w:tcPr>
          <w:p w14:paraId="20EFE5EE" w14:textId="77777777" w:rsidR="00F76DD2" w:rsidRPr="00F76DD2" w:rsidRDefault="00F76DD2" w:rsidP="00F76DD2">
            <w:pPr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 xml:space="preserve">Loc + Time + Loc*Time </w:t>
            </w:r>
          </w:p>
        </w:tc>
        <w:tc>
          <w:tcPr>
            <w:tcW w:w="960" w:type="dxa"/>
            <w:noWrap/>
            <w:hideMark/>
          </w:tcPr>
          <w:p w14:paraId="2E5495D5" w14:textId="77777777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E04DE76" w14:textId="77777777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1952.7</w:t>
            </w:r>
          </w:p>
        </w:tc>
        <w:tc>
          <w:tcPr>
            <w:tcW w:w="1008" w:type="dxa"/>
            <w:noWrap/>
            <w:hideMark/>
          </w:tcPr>
          <w:p w14:paraId="1BD74167" w14:textId="77777777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960" w:type="dxa"/>
            <w:noWrap/>
            <w:hideMark/>
          </w:tcPr>
          <w:p w14:paraId="2BF4D746" w14:textId="37302DA1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noWrap/>
            <w:hideMark/>
          </w:tcPr>
          <w:p w14:paraId="6AF35D83" w14:textId="77777777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60" w:type="dxa"/>
            <w:noWrap/>
            <w:hideMark/>
          </w:tcPr>
          <w:p w14:paraId="15575690" w14:textId="77777777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-971.2</w:t>
            </w:r>
          </w:p>
        </w:tc>
      </w:tr>
      <w:tr w:rsidR="00F76DD2" w:rsidRPr="00F76DD2" w14:paraId="72208223" w14:textId="77777777" w:rsidTr="00960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noWrap/>
            <w:hideMark/>
          </w:tcPr>
          <w:p w14:paraId="778376A6" w14:textId="77777777" w:rsidR="00F76DD2" w:rsidRPr="00F76DD2" w:rsidRDefault="00F76DD2" w:rsidP="00F76DD2">
            <w:pPr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960" w:type="dxa"/>
            <w:noWrap/>
            <w:hideMark/>
          </w:tcPr>
          <w:p w14:paraId="096BBCB6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5335615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2014.5</w:t>
            </w:r>
          </w:p>
        </w:tc>
        <w:tc>
          <w:tcPr>
            <w:tcW w:w="1008" w:type="dxa"/>
            <w:noWrap/>
            <w:hideMark/>
          </w:tcPr>
          <w:p w14:paraId="1D7A0D71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63.5</w:t>
            </w:r>
          </w:p>
        </w:tc>
        <w:tc>
          <w:tcPr>
            <w:tcW w:w="960" w:type="dxa"/>
            <w:noWrap/>
            <w:hideMark/>
          </w:tcPr>
          <w:p w14:paraId="6E626929" w14:textId="4E533DF9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5069442D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71695CF8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-1004.2</w:t>
            </w:r>
          </w:p>
        </w:tc>
      </w:tr>
      <w:tr w:rsidR="00F76DD2" w:rsidRPr="00F76DD2" w14:paraId="1F5C0C9C" w14:textId="77777777" w:rsidTr="00960F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noWrap/>
            <w:hideMark/>
          </w:tcPr>
          <w:p w14:paraId="642D7638" w14:textId="77777777" w:rsidR="00F76DD2" w:rsidRPr="00F76DD2" w:rsidRDefault="00F76DD2" w:rsidP="00F76DD2">
            <w:pPr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Loc</w:t>
            </w:r>
          </w:p>
        </w:tc>
        <w:tc>
          <w:tcPr>
            <w:tcW w:w="960" w:type="dxa"/>
            <w:noWrap/>
            <w:hideMark/>
          </w:tcPr>
          <w:p w14:paraId="3F1D25C6" w14:textId="77777777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C3EF831" w14:textId="77777777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2109.2</w:t>
            </w:r>
          </w:p>
        </w:tc>
        <w:tc>
          <w:tcPr>
            <w:tcW w:w="1008" w:type="dxa"/>
            <w:noWrap/>
            <w:hideMark/>
          </w:tcPr>
          <w:p w14:paraId="76C452C7" w14:textId="77777777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158.2</w:t>
            </w:r>
          </w:p>
        </w:tc>
        <w:tc>
          <w:tcPr>
            <w:tcW w:w="960" w:type="dxa"/>
            <w:noWrap/>
            <w:hideMark/>
          </w:tcPr>
          <w:p w14:paraId="64A89A78" w14:textId="6A7D540B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333AE94D" w14:textId="77777777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7615048A" w14:textId="77777777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-1051.6</w:t>
            </w:r>
          </w:p>
        </w:tc>
      </w:tr>
      <w:tr w:rsidR="00F76DD2" w:rsidRPr="00F76DD2" w14:paraId="7646E877" w14:textId="77777777" w:rsidTr="00960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noWrap/>
            <w:hideMark/>
          </w:tcPr>
          <w:p w14:paraId="295C747F" w14:textId="77777777" w:rsidR="00F76DD2" w:rsidRPr="00F76DD2" w:rsidRDefault="00F76DD2" w:rsidP="00F76DD2">
            <w:pPr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Null model</w:t>
            </w:r>
          </w:p>
        </w:tc>
        <w:tc>
          <w:tcPr>
            <w:tcW w:w="960" w:type="dxa"/>
            <w:noWrap/>
            <w:hideMark/>
          </w:tcPr>
          <w:p w14:paraId="5AEDEBF9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482A65E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2172.8</w:t>
            </w:r>
          </w:p>
        </w:tc>
        <w:tc>
          <w:tcPr>
            <w:tcW w:w="1008" w:type="dxa"/>
            <w:noWrap/>
            <w:hideMark/>
          </w:tcPr>
          <w:p w14:paraId="5335481A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221.8</w:t>
            </w:r>
          </w:p>
        </w:tc>
        <w:tc>
          <w:tcPr>
            <w:tcW w:w="960" w:type="dxa"/>
            <w:noWrap/>
            <w:hideMark/>
          </w:tcPr>
          <w:p w14:paraId="3E1BF346" w14:textId="650E1AFC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51509880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1BF738B3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-1084.4</w:t>
            </w:r>
          </w:p>
        </w:tc>
      </w:tr>
    </w:tbl>
    <w:p w14:paraId="5F1FB4B1" w14:textId="402C0CC5" w:rsidR="00F76DD2" w:rsidRDefault="00F76DD2" w:rsidP="003D2863"/>
    <w:p w14:paraId="74F2A763" w14:textId="009FAC7A" w:rsidR="00960F2E" w:rsidRPr="00F76DD2" w:rsidRDefault="00960F2E" w:rsidP="003D2863">
      <w:r w:rsidRPr="00960F2E">
        <w:rPr>
          <w:b/>
          <w:bCs/>
        </w:rPr>
        <w:t>Table</w:t>
      </w:r>
      <w:r w:rsidR="00891BE6">
        <w:rPr>
          <w:b/>
          <w:bCs/>
        </w:rPr>
        <w:t xml:space="preserve"> Y</w:t>
      </w:r>
      <w:r w:rsidRPr="00960F2E">
        <w:rPr>
          <w:b/>
          <w:bCs/>
        </w:rPr>
        <w:t>.</w:t>
      </w:r>
      <w:r>
        <w:t xml:space="preserve"> </w:t>
      </w:r>
      <w:r w:rsidR="000E54AA" w:rsidRPr="000E54AA">
        <w:t>Lo</w:t>
      </w:r>
      <w:r w:rsidR="000E54AA">
        <w:t>gistic m</w:t>
      </w:r>
      <w:r w:rsidR="000E54AA" w:rsidRPr="000E54AA">
        <w:t>ixed-effe</w:t>
      </w:r>
      <w:r w:rsidR="000E54AA">
        <w:t>ct m</w:t>
      </w:r>
      <w:r w:rsidR="000E54AA" w:rsidRPr="00F76DD2">
        <w:t xml:space="preserve">odel </w:t>
      </w:r>
      <w:r w:rsidR="000E54AA">
        <w:t>c</w:t>
      </w:r>
      <w:r>
        <w:t>oefficients and 95% confidence interval</w:t>
      </w:r>
      <w:r w:rsidR="000E54AA">
        <w:t>s</w:t>
      </w:r>
      <w:r>
        <w:t xml:space="preserve"> </w:t>
      </w:r>
    </w:p>
    <w:tbl>
      <w:tblPr>
        <w:tblStyle w:val="PlainTable4"/>
        <w:tblW w:w="6670" w:type="dxa"/>
        <w:jc w:val="center"/>
        <w:tblLook w:val="04A0" w:firstRow="1" w:lastRow="0" w:firstColumn="1" w:lastColumn="0" w:noHBand="0" w:noVBand="1"/>
      </w:tblPr>
      <w:tblGrid>
        <w:gridCol w:w="1552"/>
        <w:gridCol w:w="2559"/>
        <w:gridCol w:w="2559"/>
      </w:tblGrid>
      <w:tr w:rsidR="00960F2E" w:rsidRPr="00F76DD2" w14:paraId="332F5CDB" w14:textId="77777777" w:rsidTr="00960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noWrap/>
            <w:hideMark/>
          </w:tcPr>
          <w:p w14:paraId="515E7B57" w14:textId="565F5103" w:rsidR="00960F2E" w:rsidRPr="00F76DD2" w:rsidRDefault="00960F2E" w:rsidP="00960F2E">
            <w:pPr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 xml:space="preserve">Model </w:t>
            </w:r>
            <w:r w:rsidRPr="00F76DD2">
              <w:rPr>
                <w:rFonts w:ascii="Calibri" w:eastAsia="Times New Roman" w:hAnsi="Calibri" w:cs="Calibri"/>
                <w:color w:val="000000"/>
              </w:rPr>
              <w:t>term</w:t>
            </w:r>
          </w:p>
        </w:tc>
        <w:tc>
          <w:tcPr>
            <w:tcW w:w="2559" w:type="dxa"/>
          </w:tcPr>
          <w:p w14:paraId="3CD87D52" w14:textId="337E6BA1" w:rsidR="00960F2E" w:rsidRPr="00960F2E" w:rsidRDefault="00960F2E" w:rsidP="00960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2559" w:type="dxa"/>
            <w:noWrap/>
            <w:hideMark/>
          </w:tcPr>
          <w:p w14:paraId="24314A78" w14:textId="77777777" w:rsidR="00325547" w:rsidRDefault="00325547" w:rsidP="00960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</w:t>
            </w:r>
            <w:r>
              <w:rPr>
                <w:rFonts w:ascii="Calibri" w:eastAsia="Times New Roman" w:hAnsi="Calibri" w:cs="Calibri"/>
                <w:color w:val="000000"/>
              </w:rPr>
              <w:t>ogit-scale</w:t>
            </w:r>
            <w:r w:rsidRPr="00960F2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1BD1C894" w14:textId="0EA67DB5" w:rsidR="00960F2E" w:rsidRPr="00960F2E" w:rsidRDefault="00325547" w:rsidP="00960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960F2E" w:rsidRPr="00960F2E">
              <w:rPr>
                <w:rFonts w:ascii="Calibri" w:eastAsia="Times New Roman" w:hAnsi="Calibri" w:cs="Calibri"/>
                <w:color w:val="000000"/>
              </w:rPr>
              <w:t>oefficient estimate</w:t>
            </w:r>
          </w:p>
          <w:p w14:paraId="30AE8BA1" w14:textId="20C650B6" w:rsidR="00960F2E" w:rsidRPr="00F76DD2" w:rsidRDefault="00960F2E" w:rsidP="00960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>[95 % CI]</w:t>
            </w:r>
          </w:p>
        </w:tc>
      </w:tr>
      <w:tr w:rsidR="00960F2E" w:rsidRPr="00F76DD2" w14:paraId="77D92D30" w14:textId="77777777" w:rsidTr="00960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noWrap/>
            <w:hideMark/>
          </w:tcPr>
          <w:p w14:paraId="3B0A0E55" w14:textId="3022ECBC" w:rsidR="00960F2E" w:rsidRPr="00F76DD2" w:rsidRDefault="00960F2E" w:rsidP="00960F2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76DD2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Intercept</w:t>
            </w:r>
          </w:p>
        </w:tc>
        <w:tc>
          <w:tcPr>
            <w:tcW w:w="2559" w:type="dxa"/>
          </w:tcPr>
          <w:p w14:paraId="2F43EC1E" w14:textId="271AD655" w:rsidR="00960F2E" w:rsidRDefault="00960F2E" w:rsidP="0096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Mean allele frequency at Arthur River</w:t>
            </w:r>
          </w:p>
          <w:p w14:paraId="0BA4CF33" w14:textId="4A54B8D7" w:rsidR="00960F2E" w:rsidRPr="00F76DD2" w:rsidRDefault="00960F2E" w:rsidP="0096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9" w:type="dxa"/>
            <w:noWrap/>
            <w:hideMark/>
          </w:tcPr>
          <w:p w14:paraId="0BD4A561" w14:textId="584C8C07" w:rsidR="00960F2E" w:rsidRPr="00F76DD2" w:rsidRDefault="00960F2E" w:rsidP="00960F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1.60 [1.44. 1.77]</w:t>
            </w:r>
          </w:p>
        </w:tc>
      </w:tr>
      <w:tr w:rsidR="00960F2E" w:rsidRPr="00F76DD2" w14:paraId="03E3C6A1" w14:textId="77777777" w:rsidTr="00960F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noWrap/>
            <w:hideMark/>
          </w:tcPr>
          <w:p w14:paraId="61A7780E" w14:textId="4B9D455B" w:rsidR="00960F2E" w:rsidRPr="00F76DD2" w:rsidRDefault="00960F2E" w:rsidP="00960F2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60F2E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Loc</w:t>
            </w:r>
          </w:p>
        </w:tc>
        <w:tc>
          <w:tcPr>
            <w:tcW w:w="2559" w:type="dxa"/>
          </w:tcPr>
          <w:p w14:paraId="5966E4B6" w14:textId="77777777" w:rsidR="00960F2E" w:rsidRDefault="00960F2E" w:rsidP="00960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Mean allele frequency at Tintinara</w:t>
            </w:r>
          </w:p>
          <w:p w14:paraId="37DA4120" w14:textId="5BC616D6" w:rsidR="00960F2E" w:rsidRPr="00F76DD2" w:rsidRDefault="00960F2E" w:rsidP="00960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9" w:type="dxa"/>
            <w:noWrap/>
            <w:hideMark/>
          </w:tcPr>
          <w:p w14:paraId="70B5A765" w14:textId="4CAD8529" w:rsidR="00960F2E" w:rsidRPr="00F76DD2" w:rsidRDefault="00960F2E" w:rsidP="00960F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-2.15 [-2.38. -1.92]</w:t>
            </w:r>
          </w:p>
        </w:tc>
      </w:tr>
      <w:tr w:rsidR="00960F2E" w:rsidRPr="00F76DD2" w14:paraId="6EDC992F" w14:textId="77777777" w:rsidTr="00960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noWrap/>
            <w:hideMark/>
          </w:tcPr>
          <w:p w14:paraId="5447C88F" w14:textId="2A4E4B18" w:rsidR="00960F2E" w:rsidRPr="00F76DD2" w:rsidRDefault="00960F2E" w:rsidP="00960F2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60F2E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Time</w:t>
            </w:r>
          </w:p>
        </w:tc>
        <w:tc>
          <w:tcPr>
            <w:tcW w:w="2559" w:type="dxa"/>
          </w:tcPr>
          <w:p w14:paraId="315F10F8" w14:textId="77777777" w:rsidR="00960F2E" w:rsidRDefault="00960F2E" w:rsidP="0096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Normalised time since first measurement</w:t>
            </w:r>
          </w:p>
          <w:p w14:paraId="06BC4ACF" w14:textId="5B60F335" w:rsidR="00960F2E" w:rsidRPr="00F76DD2" w:rsidRDefault="00960F2E" w:rsidP="0096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9" w:type="dxa"/>
            <w:noWrap/>
            <w:hideMark/>
          </w:tcPr>
          <w:p w14:paraId="60E5E705" w14:textId="4B012A30" w:rsidR="00960F2E" w:rsidRPr="00F76DD2" w:rsidRDefault="00960F2E" w:rsidP="00960F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-0.23 [-0.27. -0.19]</w:t>
            </w:r>
          </w:p>
        </w:tc>
      </w:tr>
    </w:tbl>
    <w:p w14:paraId="2113AA3F" w14:textId="77777777" w:rsidR="00F76DD2" w:rsidRDefault="00F76DD2" w:rsidP="00F76DD2">
      <w:pPr>
        <w:jc w:val="center"/>
        <w:rPr>
          <w:b/>
          <w:bCs/>
          <w:noProof/>
        </w:rPr>
      </w:pPr>
    </w:p>
    <w:p w14:paraId="11B1D4AA" w14:textId="77777777" w:rsidR="00F76DD2" w:rsidRDefault="00F76DD2" w:rsidP="00F76DD2">
      <w:pPr>
        <w:jc w:val="center"/>
        <w:rPr>
          <w:b/>
          <w:bCs/>
        </w:rPr>
      </w:pPr>
    </w:p>
    <w:p w14:paraId="1B78BD32" w14:textId="04831DDA" w:rsidR="00113035" w:rsidRDefault="000E54AA" w:rsidP="003E7FE6">
      <w:pPr>
        <w:jc w:val="righ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3F8D551" wp14:editId="061591B2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14C5" w14:textId="643276C0" w:rsidR="00F76DD2" w:rsidRDefault="00F76DD2" w:rsidP="00F76DD2">
      <w:r>
        <w:rPr>
          <w:b/>
          <w:bCs/>
        </w:rPr>
        <w:t>Figure</w:t>
      </w:r>
      <w:r w:rsidR="00891BE6">
        <w:rPr>
          <w:b/>
          <w:bCs/>
        </w:rPr>
        <w:t xml:space="preserve"> X</w:t>
      </w:r>
      <w:r>
        <w:rPr>
          <w:b/>
          <w:bCs/>
        </w:rPr>
        <w:t xml:space="preserve">. </w:t>
      </w:r>
      <w:r w:rsidR="008C0920">
        <w:t xml:space="preserve">Frequency of the </w:t>
      </w:r>
      <w:proofErr w:type="spellStart"/>
      <w:r w:rsidR="008C0920" w:rsidRPr="00325547">
        <w:rPr>
          <w:i/>
          <w:iCs/>
        </w:rPr>
        <w:t>kdr</w:t>
      </w:r>
      <w:proofErr w:type="spellEnd"/>
      <w:r w:rsidR="008C0920">
        <w:t xml:space="preserve"> allele</w:t>
      </w:r>
      <w:r>
        <w:t xml:space="preserve"> through time</w:t>
      </w:r>
      <w:r w:rsidR="008C0920">
        <w:t>, with m</w:t>
      </w:r>
      <w:r>
        <w:t>ixed-effect logistic regression model prediction shown by lines</w:t>
      </w:r>
      <w:r w:rsidR="00325547">
        <w:t xml:space="preserve"> (holding random effects at zero)</w:t>
      </w:r>
      <w:r>
        <w:t>. Points represent means for each sample date with standard errors shown by vertical bars</w:t>
      </w:r>
      <w:r w:rsidR="00D03191">
        <w:t xml:space="preserve"> based on plot values</w:t>
      </w:r>
      <w:r>
        <w:t xml:space="preserve">. </w:t>
      </w:r>
    </w:p>
    <w:p w14:paraId="7F3E8E75" w14:textId="3F3A8203" w:rsidR="00F76DD2" w:rsidRDefault="00F76DD2" w:rsidP="00F76DD2"/>
    <w:p w14:paraId="429A7B51" w14:textId="3FD25843" w:rsidR="00F76DD2" w:rsidRPr="003E7FE6" w:rsidRDefault="003E7FE6" w:rsidP="00F76DD2">
      <w:r>
        <w:rPr>
          <w:b/>
          <w:bCs/>
        </w:rPr>
        <w:t>Table</w:t>
      </w:r>
      <w:r w:rsidR="00891BE6">
        <w:rPr>
          <w:b/>
          <w:bCs/>
        </w:rPr>
        <w:t xml:space="preserve"> Z</w:t>
      </w:r>
      <w:r>
        <w:rPr>
          <w:b/>
          <w:bCs/>
        </w:rPr>
        <w:t xml:space="preserve">. </w:t>
      </w:r>
      <w:r w:rsidRPr="003E7FE6">
        <w:t xml:space="preserve">Parameter estimates using </w:t>
      </w:r>
      <w:r w:rsidR="00D03191">
        <w:t xml:space="preserve">the </w:t>
      </w:r>
      <w:r w:rsidRPr="003E7FE6">
        <w:t>population genetic</w:t>
      </w:r>
      <w:r w:rsidR="00D03191">
        <w:t>s</w:t>
      </w:r>
      <w:r w:rsidRPr="003E7FE6">
        <w:t xml:space="preserve"> model and non-linear least squares regression</w:t>
      </w:r>
    </w:p>
    <w:tbl>
      <w:tblPr>
        <w:tblStyle w:val="PlainTable4"/>
        <w:tblW w:w="5812" w:type="dxa"/>
        <w:jc w:val="center"/>
        <w:tblLook w:val="04A0" w:firstRow="1" w:lastRow="0" w:firstColumn="1" w:lastColumn="0" w:noHBand="0" w:noVBand="1"/>
      </w:tblPr>
      <w:tblGrid>
        <w:gridCol w:w="1184"/>
        <w:gridCol w:w="2216"/>
        <w:gridCol w:w="2412"/>
      </w:tblGrid>
      <w:tr w:rsidR="00960F2E" w:rsidRPr="00960F2E" w14:paraId="7ADAD719" w14:textId="77777777" w:rsidTr="003E7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14:paraId="3FB1F152" w14:textId="32020360" w:rsidR="00960F2E" w:rsidRPr="00960F2E" w:rsidRDefault="00960F2E" w:rsidP="00960F2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Parameter</w:t>
            </w:r>
          </w:p>
        </w:tc>
        <w:tc>
          <w:tcPr>
            <w:tcW w:w="2216" w:type="dxa"/>
            <w:noWrap/>
            <w:hideMark/>
          </w:tcPr>
          <w:p w14:paraId="2883B6EC" w14:textId="45C4238B" w:rsidR="00960F2E" w:rsidRPr="00960F2E" w:rsidRDefault="003E7FE6" w:rsidP="00960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2412" w:type="dxa"/>
            <w:noWrap/>
            <w:hideMark/>
          </w:tcPr>
          <w:p w14:paraId="21B262C7" w14:textId="77777777" w:rsidR="003E7FE6" w:rsidRPr="00960F2E" w:rsidRDefault="003E7FE6" w:rsidP="003E7F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>Coefficient estimate</w:t>
            </w:r>
          </w:p>
          <w:p w14:paraId="600D574C" w14:textId="53843AE4" w:rsidR="00960F2E" w:rsidRPr="00960F2E" w:rsidRDefault="003E7FE6" w:rsidP="003E7F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>[95 % CI]</w:t>
            </w:r>
          </w:p>
        </w:tc>
      </w:tr>
      <w:tr w:rsidR="003E7FE6" w:rsidRPr="00960F2E" w14:paraId="12A624F2" w14:textId="77777777" w:rsidTr="003E7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14:paraId="387AC7C7" w14:textId="001DEFAD" w:rsidR="00960F2E" w:rsidRPr="00960F2E" w:rsidRDefault="00732328" w:rsidP="00960F2E">
            <w:pPr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RR</m:t>
                    </m:r>
                  </m:sub>
                </m:sSub>
              </m:oMath>
            </m:oMathPara>
          </w:p>
        </w:tc>
        <w:tc>
          <w:tcPr>
            <w:tcW w:w="2216" w:type="dxa"/>
            <w:noWrap/>
            <w:hideMark/>
          </w:tcPr>
          <w:p w14:paraId="1FF3E577" w14:textId="77777777" w:rsidR="00960F2E" w:rsidRDefault="003E7FE6" w:rsidP="0096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Relative fitness costs of homozygous resistance alleles.</w:t>
            </w:r>
          </w:p>
          <w:p w14:paraId="594EF422" w14:textId="5716C798" w:rsidR="003E7FE6" w:rsidRPr="00960F2E" w:rsidRDefault="003E7FE6" w:rsidP="0096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12" w:type="dxa"/>
            <w:noWrap/>
            <w:hideMark/>
          </w:tcPr>
          <w:p w14:paraId="0A4D8623" w14:textId="77777777" w:rsidR="003E7FE6" w:rsidRDefault="00960F2E" w:rsidP="003E7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bookmarkStart w:id="2" w:name="_Hlk49847204"/>
            <w:r w:rsidRPr="00960F2E">
              <w:rPr>
                <w:rFonts w:ascii="Calibri" w:eastAsia="Times New Roman" w:hAnsi="Calibri" w:cs="Calibri"/>
                <w:color w:val="000000"/>
              </w:rPr>
              <w:t xml:space="preserve">0.87 </w:t>
            </w:r>
          </w:p>
          <w:p w14:paraId="44F8AA32" w14:textId="730E6535" w:rsidR="00960F2E" w:rsidRPr="00960F2E" w:rsidRDefault="00960F2E" w:rsidP="003E7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>[0.81. 0.93]</w:t>
            </w:r>
            <w:bookmarkEnd w:id="2"/>
          </w:p>
        </w:tc>
      </w:tr>
      <w:tr w:rsidR="00960F2E" w:rsidRPr="00960F2E" w14:paraId="4EC0C489" w14:textId="77777777" w:rsidTr="003E7FE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14:paraId="0AE41728" w14:textId="60E74DB1" w:rsidR="00960F2E" w:rsidRPr="00960F2E" w:rsidRDefault="00960F2E" w:rsidP="00960F2E">
            <w:pPr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h</m:t>
                </m:r>
              </m:oMath>
            </m:oMathPara>
          </w:p>
        </w:tc>
        <w:tc>
          <w:tcPr>
            <w:tcW w:w="2216" w:type="dxa"/>
            <w:noWrap/>
            <w:hideMark/>
          </w:tcPr>
          <w:p w14:paraId="039C9147" w14:textId="77777777" w:rsidR="00960F2E" w:rsidRDefault="003E7FE6" w:rsidP="00960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Dominance of fitness costs</w:t>
            </w:r>
          </w:p>
          <w:p w14:paraId="6B5918B2" w14:textId="6AB6D880" w:rsidR="003E7FE6" w:rsidRPr="00960F2E" w:rsidRDefault="003E7FE6" w:rsidP="00960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12" w:type="dxa"/>
            <w:noWrap/>
            <w:hideMark/>
          </w:tcPr>
          <w:p w14:paraId="680F00EF" w14:textId="77777777" w:rsidR="003E7FE6" w:rsidRDefault="00960F2E" w:rsidP="003E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 xml:space="preserve">0.70 </w:t>
            </w:r>
          </w:p>
          <w:p w14:paraId="54154339" w14:textId="04F22106" w:rsidR="00960F2E" w:rsidRPr="00960F2E" w:rsidRDefault="00960F2E" w:rsidP="003E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>[0.06. 1.</w:t>
            </w:r>
            <w:r w:rsidR="00891BE6">
              <w:rPr>
                <w:rFonts w:ascii="Calibri" w:eastAsia="Times New Roman" w:hAnsi="Calibri" w:cs="Calibri"/>
                <w:color w:val="000000"/>
              </w:rPr>
              <w:t>00</w:t>
            </w:r>
            <w:r w:rsidRPr="00960F2E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3E7FE6" w:rsidRPr="00960F2E" w14:paraId="6A07B446" w14:textId="77777777" w:rsidTr="003E7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14:paraId="5440AC03" w14:textId="4B3BE2C1" w:rsidR="00960F2E" w:rsidRPr="00960F2E" w:rsidRDefault="00732328" w:rsidP="00960F2E">
            <w:pPr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p</m:t>
                    </m: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sup>
                </m:sSubSup>
              </m:oMath>
            </m:oMathPara>
          </w:p>
        </w:tc>
        <w:tc>
          <w:tcPr>
            <w:tcW w:w="2216" w:type="dxa"/>
            <w:noWrap/>
            <w:hideMark/>
          </w:tcPr>
          <w:p w14:paraId="0488077A" w14:textId="77777777" w:rsidR="00960F2E" w:rsidRDefault="003E7FE6" w:rsidP="0096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Starting resistance allele frequency at Arthur River</w:t>
            </w:r>
          </w:p>
          <w:p w14:paraId="5013CCAD" w14:textId="287DFE0D" w:rsidR="003E7FE6" w:rsidRPr="00960F2E" w:rsidRDefault="003E7FE6" w:rsidP="0096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12" w:type="dxa"/>
            <w:noWrap/>
            <w:hideMark/>
          </w:tcPr>
          <w:p w14:paraId="010151F2" w14:textId="77777777" w:rsidR="003E7FE6" w:rsidRDefault="00960F2E" w:rsidP="003E7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 xml:space="preserve">0.84 </w:t>
            </w:r>
          </w:p>
          <w:p w14:paraId="229FDDAB" w14:textId="22A3CD22" w:rsidR="00960F2E" w:rsidRPr="00960F2E" w:rsidRDefault="00960F2E" w:rsidP="003E7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>[0.80. 0.87]</w:t>
            </w:r>
          </w:p>
        </w:tc>
      </w:tr>
      <w:tr w:rsidR="00960F2E" w:rsidRPr="00960F2E" w14:paraId="26B68F36" w14:textId="77777777" w:rsidTr="003E7FE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14:paraId="449BC263" w14:textId="0AE4CDE1" w:rsidR="00960F2E" w:rsidRPr="00960F2E" w:rsidRDefault="00732328" w:rsidP="00960F2E">
            <w:pPr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2216" w:type="dxa"/>
            <w:noWrap/>
            <w:hideMark/>
          </w:tcPr>
          <w:p w14:paraId="431A381E" w14:textId="77777777" w:rsidR="00960F2E" w:rsidRDefault="003E7FE6" w:rsidP="00960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Starting resistance allele frequency at Tintinara</w:t>
            </w:r>
          </w:p>
          <w:p w14:paraId="267D2B74" w14:textId="7193831F" w:rsidR="003E7FE6" w:rsidRPr="00960F2E" w:rsidRDefault="003E7FE6" w:rsidP="00960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12" w:type="dxa"/>
            <w:noWrap/>
            <w:hideMark/>
          </w:tcPr>
          <w:p w14:paraId="6FF27E31" w14:textId="77777777" w:rsidR="003E7FE6" w:rsidRDefault="00960F2E" w:rsidP="003E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 xml:space="preserve">0.43 </w:t>
            </w:r>
          </w:p>
          <w:p w14:paraId="2AF8D2AA" w14:textId="2AB1540F" w:rsidR="00960F2E" w:rsidRPr="00960F2E" w:rsidRDefault="00960F2E" w:rsidP="003E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>[0.39. 0.48]</w:t>
            </w:r>
          </w:p>
        </w:tc>
      </w:tr>
    </w:tbl>
    <w:p w14:paraId="1AF67278" w14:textId="4DC67D33" w:rsidR="00F76DD2" w:rsidRDefault="00F76DD2" w:rsidP="00F76DD2">
      <w:pPr>
        <w:jc w:val="center"/>
        <w:rPr>
          <w:b/>
          <w:bCs/>
        </w:rPr>
      </w:pPr>
    </w:p>
    <w:p w14:paraId="52BDF467" w14:textId="5C55FC51" w:rsidR="003E7FE6" w:rsidRDefault="003E7FE6" w:rsidP="00F76DD2">
      <w:pPr>
        <w:jc w:val="center"/>
        <w:rPr>
          <w:b/>
          <w:bCs/>
        </w:rPr>
      </w:pPr>
    </w:p>
    <w:p w14:paraId="69BD94A7" w14:textId="748D112D" w:rsidR="003E7FE6" w:rsidRDefault="00325547" w:rsidP="003E7FE6">
      <w:pPr>
        <w:jc w:val="righ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4F313A6" wp14:editId="3135B5D2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63A3C" w14:textId="1E62127A" w:rsidR="003E7FE6" w:rsidRDefault="003E7FE6" w:rsidP="003E7FE6">
      <w:r>
        <w:rPr>
          <w:b/>
          <w:bCs/>
        </w:rPr>
        <w:t>Figure</w:t>
      </w:r>
      <w:r w:rsidR="00891BE6">
        <w:rPr>
          <w:b/>
          <w:bCs/>
        </w:rPr>
        <w:t xml:space="preserve"> Y</w:t>
      </w:r>
      <w:r>
        <w:rPr>
          <w:b/>
          <w:bCs/>
        </w:rPr>
        <w:t xml:space="preserve">. </w:t>
      </w:r>
      <w:r w:rsidR="008C0920">
        <w:t xml:space="preserve">Frequency of the </w:t>
      </w:r>
      <w:proofErr w:type="spellStart"/>
      <w:r w:rsidR="008C0920" w:rsidRPr="00C810A3">
        <w:rPr>
          <w:i/>
          <w:iCs/>
        </w:rPr>
        <w:t>kdr</w:t>
      </w:r>
      <w:proofErr w:type="spellEnd"/>
      <w:r w:rsidR="008C0920">
        <w:t xml:space="preserve"> allele</w:t>
      </w:r>
      <w:r>
        <w:t xml:space="preserve"> across </w:t>
      </w:r>
      <w:r w:rsidR="000E54AA">
        <w:t xml:space="preserve">estimated </w:t>
      </w:r>
      <w:r>
        <w:t>generation</w:t>
      </w:r>
      <w:r w:rsidR="008C0920">
        <w:t>s, with f</w:t>
      </w:r>
      <w:r>
        <w:t>itted population genetics model prediction estimated with non-linear least squares shown by lines for dominant (h</w:t>
      </w:r>
      <w:r w:rsidR="000E54AA">
        <w:t xml:space="preserve"> </w:t>
      </w:r>
      <w:r>
        <w:t>=</w:t>
      </w:r>
      <w:r w:rsidR="000E54AA">
        <w:t xml:space="preserve"> </w:t>
      </w:r>
      <w:r>
        <w:t xml:space="preserve">1), </w:t>
      </w:r>
      <w:r w:rsidR="00C810A3">
        <w:t xml:space="preserve">best-fit </w:t>
      </w:r>
      <w:r>
        <w:t>intermediate (h</w:t>
      </w:r>
      <w:r w:rsidR="000E54AA">
        <w:t xml:space="preserve"> </w:t>
      </w:r>
      <w:r>
        <w:t>=</w:t>
      </w:r>
      <w:r w:rsidR="000E54AA">
        <w:t xml:space="preserve"> </w:t>
      </w:r>
      <w:r>
        <w:t>0.</w:t>
      </w:r>
      <w:r w:rsidR="00C810A3">
        <w:t>7</w:t>
      </w:r>
      <w:r>
        <w:t>), and recessive (h = 0) fitness costs</w:t>
      </w:r>
      <w:r w:rsidR="00D03191">
        <w:t xml:space="preserve"> for the resistant allele</w:t>
      </w:r>
      <w:r>
        <w:t xml:space="preserve">. Points represent means for each sample date with standard errors shown by vertical bars. </w:t>
      </w:r>
    </w:p>
    <w:p w14:paraId="6228A8EE" w14:textId="77777777" w:rsidR="003E7FE6" w:rsidRDefault="003E7FE6" w:rsidP="00F76DD2">
      <w:pPr>
        <w:jc w:val="center"/>
        <w:rPr>
          <w:b/>
          <w:bCs/>
        </w:rPr>
      </w:pPr>
    </w:p>
    <w:p w14:paraId="4D6CBD25" w14:textId="77777777" w:rsidR="003E7FE6" w:rsidRPr="008C108B" w:rsidRDefault="003E7FE6" w:rsidP="00F76DD2">
      <w:pPr>
        <w:jc w:val="center"/>
        <w:rPr>
          <w:b/>
          <w:bCs/>
        </w:rPr>
      </w:pPr>
    </w:p>
    <w:sectPr w:rsidR="003E7FE6" w:rsidRPr="008C1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7DBE"/>
    <w:multiLevelType w:val="hybridMultilevel"/>
    <w:tmpl w:val="CBF4D6F0"/>
    <w:lvl w:ilvl="0" w:tplc="FADEAA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35"/>
    <w:rsid w:val="00015990"/>
    <w:rsid w:val="000E54AA"/>
    <w:rsid w:val="00113035"/>
    <w:rsid w:val="0027732C"/>
    <w:rsid w:val="00283142"/>
    <w:rsid w:val="00325547"/>
    <w:rsid w:val="003D2863"/>
    <w:rsid w:val="003E7FE6"/>
    <w:rsid w:val="00567095"/>
    <w:rsid w:val="005760D4"/>
    <w:rsid w:val="00732328"/>
    <w:rsid w:val="00891BE6"/>
    <w:rsid w:val="008C0920"/>
    <w:rsid w:val="008C108B"/>
    <w:rsid w:val="00960F2E"/>
    <w:rsid w:val="00A911DF"/>
    <w:rsid w:val="00AD2DB3"/>
    <w:rsid w:val="00B74F69"/>
    <w:rsid w:val="00C810A3"/>
    <w:rsid w:val="00CC2DCD"/>
    <w:rsid w:val="00D03191"/>
    <w:rsid w:val="00F7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36E4"/>
  <w15:chartTrackingRefBased/>
  <w15:docId w15:val="{F2567EBB-9D25-4E90-9C9B-A070AF50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03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D2863"/>
    <w:rPr>
      <w:color w:val="808080"/>
    </w:rPr>
  </w:style>
  <w:style w:type="table" w:styleId="PlainTable4">
    <w:name w:val="Plain Table 4"/>
    <w:basedOn w:val="TableNormal"/>
    <w:uiPriority w:val="44"/>
    <w:rsid w:val="00F76D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60F2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1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1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1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1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19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E5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E90B4-DC4D-4995-A14A-58BC551CE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Maino</dc:creator>
  <cp:keywords/>
  <dc:description/>
  <cp:lastModifiedBy>James Maino</cp:lastModifiedBy>
  <cp:revision>2</cp:revision>
  <dcterms:created xsi:type="dcterms:W3CDTF">2020-09-01T00:11:00Z</dcterms:created>
  <dcterms:modified xsi:type="dcterms:W3CDTF">2020-09-01T00:11:00Z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http://www.zotero.org/styles/agricultural-and-forest-meteorology</vt:lpwstr>
  </property>
  <property fmtid="{D5CDD505-2E9C-101B-9397-08002B2CF9AE}" pid="3" name="Mendeley Recent Style Name 0_1">
    <vt:lpwstr>Agricultural and Forest Meteorology</vt:lpwstr>
  </property>
  <property fmtid="{D5CDD505-2E9C-101B-9397-08002B2CF9AE}" pid="4" name="Mendeley Recent Style Id 1_1">
    <vt:lpwstr>http://www.zotero.org/styles/american-medical-association</vt:lpwstr>
  </property>
  <property fmtid="{D5CDD505-2E9C-101B-9397-08002B2CF9AE}" pid="5" name="Mendeley Recent Style Name 1_1">
    <vt:lpwstr>American Medical Association</vt:lpwstr>
  </property>
  <property fmtid="{D5CDD505-2E9C-101B-9397-08002B2CF9AE}" pid="6" name="Mendeley Recent Style Id 2_1">
    <vt:lpwstr>http://www.zotero.org/styles/american-political-science-association</vt:lpwstr>
  </property>
  <property fmtid="{D5CDD505-2E9C-101B-9397-08002B2CF9AE}" pid="7" name="Mendeley Recent Style Name 2_1">
    <vt:lpwstr>American Political Science Association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http://www.zotero.org/styles/ecological-applications</vt:lpwstr>
  </property>
  <property fmtid="{D5CDD505-2E9C-101B-9397-08002B2CF9AE}" pid="13" name="Mendeley Recent Style Name 5_1">
    <vt:lpwstr>Ecological Applications</vt:lpwstr>
  </property>
  <property fmtid="{D5CDD505-2E9C-101B-9397-08002B2CF9AE}" pid="14" name="Mendeley Recent Style Id 6_1">
    <vt:lpwstr>http://www.zotero.org/styles/journal-of-applied-ecology</vt:lpwstr>
  </property>
  <property fmtid="{D5CDD505-2E9C-101B-9397-08002B2CF9AE}" pid="15" name="Mendeley Recent Style Name 6_1">
    <vt:lpwstr>Journal of Applied Ecology</vt:lpwstr>
  </property>
  <property fmtid="{D5CDD505-2E9C-101B-9397-08002B2CF9AE}" pid="16" name="Mendeley Recent Style Id 7_1">
    <vt:lpwstr>http://www.zotero.org/styles/journal-of-pest-science</vt:lpwstr>
  </property>
  <property fmtid="{D5CDD505-2E9C-101B-9397-08002B2CF9AE}" pid="17" name="Mendeley Recent Style Name 7_1">
    <vt:lpwstr>Journal of Pest Science</vt:lpwstr>
  </property>
  <property fmtid="{D5CDD505-2E9C-101B-9397-08002B2CF9AE}" pid="18" name="Mendeley Recent Style Id 8_1">
    <vt:lpwstr>http://www.zotero.org/styles/pest-management-science</vt:lpwstr>
  </property>
  <property fmtid="{D5CDD505-2E9C-101B-9397-08002B2CF9AE}" pid="19" name="Mendeley Recent Style Name 8_1">
    <vt:lpwstr>Pest Management Science</vt:lpwstr>
  </property>
  <property fmtid="{D5CDD505-2E9C-101B-9397-08002B2CF9AE}" pid="20" name="Mendeley Recent Style Id 9_1">
    <vt:lpwstr>http://www.zotero.org/styles/the-journal-of-wildlife-management</vt:lpwstr>
  </property>
  <property fmtid="{D5CDD505-2E9C-101B-9397-08002B2CF9AE}" pid="21" name="Mendeley Recent Style Name 9_1">
    <vt:lpwstr>The Journal of Wildlife Management</vt:lpwstr>
  </property>
</Properties>
</file>