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GNI Autonomous — Session Diary S37+S38</w:t>
      </w:r>
    </w:p>
    <w:p>
      <w:r>
        <w:rPr>
          <w:sz w:val="20"/>
        </w:rPr>
        <w:t>May 25–26, 2026 | Team Geeks | James + Claude Sonnet 4.6</w:t>
      </w:r>
    </w:p>
    <w:p/>
    <w:tbl>
      <w:tblPr>
        <w:tblW w:type="auto" w:w="0"/>
        <w:tblLook w:firstColumn="1" w:firstRow="1" w:lastColumn="0" w:lastRow="0" w:noHBand="0" w:noVBand="1" w:val="04A0"/>
      </w:tblPr>
      <w:tblGrid>
        <w:gridCol w:w="8640"/>
      </w:tblGrid>
      <w:tr>
        <w:tc>
          <w:tcPr>
            <w:tcW w:type="dxa" w:w="8640"/>
            <w:shd w:val="clear" w:color="auto" w:fill="DEEAF1"/>
          </w:tcPr>
          <w:p>
            <w:r>
              <w:rPr>
                <w:sz w:val="20"/>
              </w:rPr>
              <w:t>GNI became intelligently selective, self-improving, and philosophically honest at every layer simultaneously — and a real teenager proved to us that PHI-003 was a promise we had not yet kept.</w:t>
            </w:r>
          </w:p>
        </w:tc>
      </w:tr>
    </w:tbl>
    <w:p/>
    <w:p>
      <w:pPr>
        <w:pStyle w:val="Heading1"/>
      </w:pPr>
      <w:r>
        <w:rPr>
          <w:color w:val="1B3A6B"/>
          <w:sz w:val="32"/>
        </w:rPr>
        <w:t>What This Session Was Really About</w:t>
      </w:r>
    </w:p>
    <w:p>
      <w:r>
        <w:rPr>
          <w:sz w:val="20"/>
        </w:rPr>
        <w:t>S37 started as a MAD Protocol audit. What we found was that our four debate agents — the Bull, Bear, Swan, and Ostrich — had been performing rather than thinking. Bull was copy-pasting its own arguments between rounds. Bear was using panic words instead of data. Swan was hallucinating UFO threats. Ostrich was naming the wrong government ministry as the institution in denial. Five debate analyst reviews. Ten surgical prompt fixes. The first quality score: 86.7%. Agents 100%. Consultants 100%. Arbitrator 66.7% — because "diversify energy sources" was not in the good_patterns list. Fixed in one commit.</w:t>
      </w:r>
    </w:p>
    <w:p/>
    <w:p>
      <w:r>
        <w:rPr>
          <w:sz w:val="20"/>
        </w:rPr>
        <w:t xml:space="preserve">S38 was the system upgrade session. We had been talking about human security scoring, source quality ratios, cross-run deduplication, and content quality feedback loops for multiple sessions. This session we built them all. Six new sources from the Partner B source list. Article selection expanded from 11 to 22 with 43% token budget still unused. The Article Forensic Trace XLSX — the most important new feature of the session — gives James a complete audit trail of every decision the pipeline makes, from 483 collected articles down to 22 selected ones, every gate, every reason, color coded.</w:t>
      </w:r>
    </w:p>
    <w:p/>
    <w:p>
      <w:pPr>
        <w:pStyle w:val="Heading1"/>
      </w:pPr>
      <w:r>
        <w:rPr>
          <w:color w:val="1B3A6B"/>
          <w:sz w:val="32"/>
        </w:rPr>
        <w:t>The Teenager Who Changed PHI-003</w:t>
      </w:r>
    </w:p>
    <w:p>
      <w:r>
        <w:rPr>
          <w:sz w:val="20"/>
        </w:rPr>
        <w:t>The most important moment of the session was not a commit. It was a 16-year-old IGCSE student reading the FFF section.</w:t>
      </w:r>
    </w:p>
    <w:p/>
    <w:tbl>
      <w:tblPr>
        <w:tblW w:type="auto" w:w="0"/>
        <w:tblLook w:firstColumn="1" w:firstRow="1" w:lastColumn="0" w:lastRow="0" w:noHBand="0" w:noVBand="1" w:val="04A0"/>
      </w:tblPr>
      <w:tblGrid>
        <w:gridCol w:w="8640"/>
      </w:tblGrid>
      <w:tr>
        <w:tc>
          <w:tcPr>
            <w:tcW w:type="dxa" w:w="8640"/>
            <w:shd w:val="clear" w:color="auto" w:fill="FFF3CD"/>
          </w:tcPr>
          <w:p>
            <w:r>
              <w:rPr>
                <w:sz w:val="20"/>
              </w:rPr>
              <w:t>"The world is very complicated right now, and these summaries are too clean. Real life is messier."</w:t>
              <w:br/>
              <w:br/>
              <w:t>— Real 16-year-old, IGCSE student, reading GNI /brief, May 2026</w:t>
            </w:r>
          </w:p>
        </w:tc>
      </w:tr>
    </w:tbl>
    <w:p/>
    <w:p>
      <w:r>
        <w:rPr>
          <w:sz w:val="20"/>
        </w:rPr>
        <w:t>PHI-003 says "Freedom from Fear Intelligence for every human being — from teenagers to senior citizens." We had written that. We had built the three FFF questions. We had the teenager standard. But we had never actually tested it with a teenager.</w:t>
      </w:r>
    </w:p>
    <w:p/>
    <w:p>
      <w:r>
        <w:rPr>
          <w:sz w:val="20"/>
        </w:rPr>
        <w:t>The feedback was surgical. "What is happening" — too shallow, no context, assumes prior knowledge. "Honest analysis" — too neutral, both-sidesism, states obvious causal chains everyone already knows. "What you can do" — "advocate for diplomacy" means nothing to a 16-year-old with RM200 in savings.</w:t>
      </w:r>
    </w:p>
    <w:p/>
    <w:p>
      <w:r>
        <w:rPr>
          <w:sz w:val="20"/>
        </w:rPr>
        <w:t>The fix was immediate. FFF prompts now require: background context for someone who has not been following the story, a clear position backed by evidence rather than both-sides neutrality, and practical age-appropriate guidance about how this affects energy prices, jobs, tech, and their future. Not "advocate for diplomacy." Real and specific.</w:t>
      </w:r>
    </w:p>
    <w:p/>
    <w:p>
      <w:pPr>
        <w:pStyle w:val="Heading1"/>
      </w:pPr>
      <w:r>
        <w:rPr>
          <w:color w:val="1B3A6B"/>
          <w:sz w:val="32"/>
        </w:rPr>
        <w:t>The Cross-Run Duplication Discovery</w:t>
      </w:r>
    </w:p>
    <w:p>
      <w:r>
        <w:rPr>
          <w:sz w:val="20"/>
        </w:rPr>
        <w:t>The Forensic Trace was built partly to prove what James had been observing: the same articles appearing in consecutive pipeline runs. RSS feeds publish articles that stay in feeds for 24-48 hours. GNI collects the same article at 02:00 UTC and again at 10:00 UTC. If it scored high the first time, it scores high the second time. Two REF-IDs for the same URL. The Telegram channel showing the same Rwanda genocide article twice.</w:t>
      </w:r>
    </w:p>
    <w:p/>
    <w:p>
      <w:r>
        <w:rPr>
          <w:sz w:val="20"/>
        </w:rPr>
        <w:t>The forensic trace will prove this pattern in data. The fix — cross-run URL deduplication — is designed and ready to build in S39. This is the right order: evidence first, fix second.</w:t>
      </w:r>
    </w:p>
    <w:p/>
    <w:p>
      <w:pPr>
        <w:pStyle w:val="Heading1"/>
      </w:pPr>
      <w:r>
        <w:rPr>
          <w:color w:val="1B3A6B"/>
          <w:sz w:val="32"/>
        </w:rPr>
        <w:t>Deep Analysis: Source and Criteria Architecture</w:t>
      </w:r>
    </w:p>
    <w:p>
      <w:r>
        <w:rPr>
          <w:sz w:val="20"/>
        </w:rPr>
        <w:t>We spent significant time this session doing something we had never done before: a systematic deep analysis of how every source was chosen and how every scoring criterion evolved. The conclusion was clear: PHI-003 was not in the scoring formula.</w:t>
      </w:r>
    </w:p>
    <w:p/>
    <w:p>
      <w:r>
        <w:rPr>
          <w:sz w:val="20"/>
        </w:rPr>
        <w:t>A civilian massacre article and a stock market fluctuation article scored identically if they had the same geopolitical keyword density. Human security keywords had zero weight. Stage 1 match count was calculated and immediately discarded. These are now fixed. The scoring formula now reflects the philosophy that GNI serves humans, not markets.</w:t>
      </w:r>
    </w:p>
    <w:p/>
    <w:p>
      <w:pPr>
        <w:pStyle w:val="Heading1"/>
      </w:pPr>
      <w:r>
        <w:rPr>
          <w:color w:val="1B3A6B"/>
          <w:sz w:val="32"/>
        </w:rPr>
        <w:t>The Three Philosophies — One Unified Vision</w:t>
      </w:r>
    </w:p>
    <w:p>
      <w:r>
        <w:rPr>
          <w:sz w:val="20"/>
        </w:rPr>
        <w:t>PHI-001 (remove access barrier), PHI-002 (remove capacity barrier), PHI-003 (remove quality barrier) were analyzed as a sequential causal chain for the first time. They are not parallel philosophies. They are three layers of the same philosophy:</w:t>
      </w:r>
    </w:p>
    <w:p/>
    <w:tbl>
      <w:tblPr>
        <w:tblW w:type="auto" w:w="0"/>
        <w:tblLook w:firstColumn="1" w:firstRow="1" w:lastColumn="0" w:lastRow="0" w:noHBand="0" w:noVBand="1" w:val="04A0"/>
      </w:tblPr>
      <w:tblGrid>
        <w:gridCol w:w="8640"/>
      </w:tblGrid>
      <w:tr>
        <w:tc>
          <w:tcPr>
            <w:tcW w:type="dxa" w:w="8640"/>
            <w:shd w:val="clear" w:color="auto" w:fill="E8E0F0"/>
          </w:tcPr>
          <w:p>
            <w:r>
              <w:rPr>
                <w:sz w:val="20"/>
              </w:rPr>
              <w:t>Every human being has the right to free, honest, fear-free intelligence about the world — and the capacity to think clearly about it — so they can understand what threatens their freedom and know what they can do about it.</w:t>
              <w:br/>
              <w:br/>
              <w:t>PHI-001 + PHI-002 + PHI-003 in one sentence.</w:t>
            </w:r>
          </w:p>
        </w:tc>
      </w:tr>
    </w:tbl>
    <w:p/>
    <w:p>
      <w:pPr>
        <w:pStyle w:val="Heading1"/>
      </w:pPr>
      <w:r>
        <w:rPr>
          <w:color w:val="1B3A6B"/>
          <w:sz w:val="32"/>
        </w:rPr>
        <w:t>Session Numbers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B3A6B"/>
          </w:tcPr>
          <w:p>
            <w:r>
              <w:rPr>
                <w:b/>
                <w:color w:val="FFFFFF"/>
                <w:sz w:val="18"/>
              </w:rPr>
              <w:t>Metric</w:t>
            </w:r>
          </w:p>
        </w:tc>
        <w:tc>
          <w:tcPr>
            <w:tcW w:type="dxa" w:w="2160"/>
            <w:shd w:val="clear" w:color="auto" w:fill="1B3A6B"/>
          </w:tcPr>
          <w:p>
            <w:r>
              <w:rPr>
                <w:b/>
                <w:color w:val="FFFFFF"/>
                <w:sz w:val="18"/>
              </w:rPr>
              <w:t>S37</w:t>
            </w:r>
          </w:p>
        </w:tc>
        <w:tc>
          <w:tcPr>
            <w:tcW w:type="dxa" w:w="2160"/>
            <w:shd w:val="clear" w:color="auto" w:fill="1B3A6B"/>
          </w:tcPr>
          <w:p>
            <w:r>
              <w:rPr>
                <w:b/>
                <w:color w:val="FFFFFF"/>
                <w:sz w:val="18"/>
              </w:rPr>
              <w:t>S38</w:t>
            </w:r>
          </w:p>
        </w:tc>
        <w:tc>
          <w:tcPr>
            <w:tcW w:type="dxa" w:w="2160"/>
            <w:shd w:val="clear" w:color="auto" w:fill="1B3A6B"/>
          </w:tcPr>
          <w:p>
            <w:r>
              <w:rPr>
                <w:b/>
                <w:color w:val="FFFFFF"/>
                <w:sz w:val="18"/>
              </w:rPr>
              <w:t>Total</w:t>
            </w:r>
          </w:p>
        </w:tc>
      </w:tr>
      <w:tr>
        <w:tc>
          <w:tcPr>
            <w:tcW w:type="dxa" w:w="2160"/>
            <w:shd w:val="clear" w:color="auto" w:fill="FFFFFF"/>
          </w:tcPr>
          <w:p>
            <w:r>
              <w:rPr>
                <w:sz w:val="18"/>
              </w:rPr>
              <w:t>Commits</w:t>
            </w:r>
          </w:p>
        </w:tc>
        <w:tc>
          <w:tcPr>
            <w:tcW w:type="dxa" w:w="2160"/>
            <w:shd w:val="clear" w:color="auto" w:fill="FFFFFF"/>
          </w:tcPr>
          <w:p>
            <w:r>
              <w:rPr>
                <w:sz w:val="18"/>
              </w:rPr>
              <w:t>5</w:t>
            </w:r>
          </w:p>
        </w:tc>
        <w:tc>
          <w:tcPr>
            <w:tcW w:type="dxa" w:w="2160"/>
            <w:shd w:val="clear" w:color="auto" w:fill="FFFFFF"/>
          </w:tcPr>
          <w:p>
            <w:r>
              <w:rPr>
                <w:sz w:val="18"/>
              </w:rPr>
              <w:t>10 (+2 additional fixes)</w:t>
            </w:r>
          </w:p>
        </w:tc>
        <w:tc>
          <w:tcPr>
            <w:tcW w:type="dxa" w:w="2160"/>
            <w:shd w:val="clear" w:color="auto" w:fill="FFFFFF"/>
          </w:tcPr>
          <w:p>
            <w:r>
              <w:rPr>
                <w:sz w:val="18"/>
              </w:rPr>
              <w:t>17</w:t>
            </w:r>
          </w:p>
        </w:tc>
      </w:tr>
      <w:tr>
        <w:tc>
          <w:tcPr>
            <w:tcW w:type="dxa" w:w="2160"/>
            <w:shd w:val="clear" w:color="auto" w:fill="F5F5F5"/>
          </w:tcPr>
          <w:p>
            <w:r>
              <w:rPr>
                <w:sz w:val="18"/>
              </w:rPr>
              <w:t>New Python files</w:t>
            </w:r>
          </w:p>
        </w:tc>
        <w:tc>
          <w:tcPr>
            <w:tcW w:type="dxa" w:w="2160"/>
            <w:shd w:val="clear" w:color="auto" w:fill="F5F5F5"/>
          </w:tcPr>
          <w:p>
            <w:r>
              <w:rPr>
                <w:sz w:val="18"/>
              </w:rPr>
              <w:t>1 (mad_quality.py)</w:t>
            </w:r>
          </w:p>
        </w:tc>
        <w:tc>
          <w:tcPr>
            <w:tcW w:type="dxa" w:w="2160"/>
            <w:shd w:val="clear" w:color="auto" w:fill="F5F5F5"/>
          </w:tcPr>
          <w:p>
            <w:r>
              <w:rPr>
                <w:sz w:val="18"/>
              </w:rPr>
              <w:t>1 (gni_forensic_trace.py)</w:t>
            </w:r>
          </w:p>
        </w:tc>
        <w:tc>
          <w:tcPr>
            <w:tcW w:type="dxa" w:w="2160"/>
            <w:shd w:val="clear" w:color="auto" w:fill="F5F5F5"/>
          </w:tcPr>
          <w:p>
            <w:r>
              <w:rPr>
                <w:sz w:val="18"/>
              </w:rPr>
              <w:t>2</w:t>
            </w:r>
          </w:p>
        </w:tc>
      </w:tr>
      <w:tr>
        <w:tc>
          <w:tcPr>
            <w:tcW w:type="dxa" w:w="2160"/>
            <w:shd w:val="clear" w:color="auto" w:fill="FFFFFF"/>
          </w:tcPr>
          <w:p>
            <w:r>
              <w:rPr>
                <w:sz w:val="18"/>
              </w:rPr>
              <w:t>New sources added</w:t>
            </w:r>
          </w:p>
        </w:tc>
        <w:tc>
          <w:tcPr>
            <w:tcW w:type="dxa" w:w="2160"/>
            <w:shd w:val="clear" w:color="auto" w:fill="FFFFFF"/>
          </w:tcPr>
          <w:p>
            <w:r>
              <w:rPr>
                <w:sz w:val="18"/>
              </w:rPr>
              <w:t>0</w:t>
            </w:r>
          </w:p>
        </w:tc>
        <w:tc>
          <w:tcPr>
            <w:tcW w:type="dxa" w:w="2160"/>
            <w:shd w:val="clear" w:color="auto" w:fill="FFFFFF"/>
          </w:tcPr>
          <w:p>
            <w:r>
              <w:rPr>
                <w:sz w:val="18"/>
              </w:rPr>
              <w:t>6</w:t>
            </w:r>
          </w:p>
        </w:tc>
        <w:tc>
          <w:tcPr>
            <w:tcW w:type="dxa" w:w="2160"/>
            <w:shd w:val="clear" w:color="auto" w:fill="FFFFFF"/>
          </w:tcPr>
          <w:p>
            <w:r>
              <w:rPr>
                <w:sz w:val="18"/>
              </w:rPr>
              <w:t>6</w:t>
            </w:r>
          </w:p>
        </w:tc>
      </w:tr>
      <w:tr>
        <w:tc>
          <w:tcPr>
            <w:tcW w:type="dxa" w:w="2160"/>
            <w:shd w:val="clear" w:color="auto" w:fill="F5F5F5"/>
          </w:tcPr>
          <w:p>
            <w:r>
              <w:rPr>
                <w:sz w:val="18"/>
              </w:rPr>
              <w:t>Supabase columns added</w:t>
            </w:r>
          </w:p>
        </w:tc>
        <w:tc>
          <w:tcPr>
            <w:tcW w:type="dxa" w:w="2160"/>
            <w:shd w:val="clear" w:color="auto" w:fill="F5F5F5"/>
          </w:tcPr>
          <w:p>
            <w:r>
              <w:rPr>
                <w:sz w:val="18"/>
              </w:rPr>
              <w:t>1 (mad_quality_log table)</w:t>
            </w:r>
          </w:p>
        </w:tc>
        <w:tc>
          <w:tcPr>
            <w:tcW w:type="dxa" w:w="2160"/>
            <w:shd w:val="clear" w:color="auto" w:fill="F5F5F5"/>
          </w:tcPr>
          <w:p>
            <w:r>
              <w:rPr>
                <w:sz w:val="18"/>
              </w:rPr>
              <w:t>6 (pillar, content_type, content_type_signals, review_gate, geo_ratio, geo_count, low_quality_flag)</w:t>
            </w:r>
          </w:p>
        </w:tc>
        <w:tc>
          <w:tcPr>
            <w:tcW w:type="dxa" w:w="2160"/>
            <w:shd w:val="clear" w:color="auto" w:fill="F5F5F5"/>
          </w:tcPr>
          <w:p>
            <w:r>
              <w:rPr>
                <w:sz w:val="18"/>
              </w:rPr>
              <w:t>13</w:t>
            </w:r>
          </w:p>
        </w:tc>
      </w:tr>
      <w:tr>
        <w:tc>
          <w:tcPr>
            <w:tcW w:type="dxa" w:w="2160"/>
            <w:shd w:val="clear" w:color="auto" w:fill="FFFFFF"/>
          </w:tcPr>
          <w:p>
            <w:r>
              <w:rPr>
                <w:sz w:val="18"/>
              </w:rPr>
              <w:t>Scoring components</w:t>
            </w:r>
          </w:p>
        </w:tc>
        <w:tc>
          <w:tcPr>
            <w:tcW w:type="dxa" w:w="2160"/>
            <w:shd w:val="clear" w:color="auto" w:fill="FFFFFF"/>
          </w:tcPr>
          <w:p>
            <w:r>
              <w:rPr>
                <w:sz w:val="18"/>
              </w:rPr>
              <w:t>11 (inherited)</w:t>
            </w:r>
          </w:p>
        </w:tc>
        <w:tc>
          <w:tcPr>
            <w:tcW w:type="dxa" w:w="2160"/>
            <w:shd w:val="clear" w:color="auto" w:fill="FFFFFF"/>
          </w:tcPr>
          <w:p>
            <w:r>
              <w:rPr>
                <w:sz w:val="18"/>
              </w:rPr>
              <w:t>13 (+human security, +stage1 density)</w:t>
            </w:r>
          </w:p>
        </w:tc>
        <w:tc>
          <w:tcPr>
            <w:tcW w:type="dxa" w:w="2160"/>
            <w:shd w:val="clear" w:color="auto" w:fill="FFFFFF"/>
          </w:tcPr>
          <w:p>
            <w:r>
              <w:rPr>
                <w:sz w:val="18"/>
              </w:rPr>
              <w:t>13</w:t>
            </w:r>
          </w:p>
        </w:tc>
      </w:tr>
      <w:tr>
        <w:tc>
          <w:tcPr>
            <w:tcW w:type="dxa" w:w="2160"/>
            <w:shd w:val="clear" w:color="auto" w:fill="F5F5F5"/>
          </w:tcPr>
          <w:p>
            <w:r>
              <w:rPr>
                <w:sz w:val="18"/>
              </w:rPr>
              <w:t>Articles selected per run</w:t>
            </w:r>
          </w:p>
        </w:tc>
        <w:tc>
          <w:tcPr>
            <w:tcW w:type="dxa" w:w="2160"/>
            <w:shd w:val="clear" w:color="auto" w:fill="F5F5F5"/>
          </w:tcPr>
          <w:p>
            <w:r>
              <w:rPr>
                <w:sz w:val="18"/>
              </w:rPr>
              <w:t>11</w:t>
            </w:r>
          </w:p>
        </w:tc>
        <w:tc>
          <w:tcPr>
            <w:tcW w:type="dxa" w:w="2160"/>
            <w:shd w:val="clear" w:color="auto" w:fill="F5F5F5"/>
          </w:tcPr>
          <w:p>
            <w:r>
              <w:rPr>
                <w:sz w:val="18"/>
              </w:rPr>
              <w:t>22</w:t>
            </w:r>
          </w:p>
        </w:tc>
        <w:tc>
          <w:tcPr>
            <w:tcW w:type="dxa" w:w="2160"/>
            <w:shd w:val="clear" w:color="auto" w:fill="F5F5F5"/>
          </w:tcPr>
          <w:p>
            <w:r>
              <w:rPr>
                <w:sz w:val="18"/>
              </w:rPr>
              <w:t>22</w:t>
            </w:r>
          </w:p>
        </w:tc>
      </w:tr>
      <w:tr>
        <w:tc>
          <w:tcPr>
            <w:tcW w:type="dxa" w:w="2160"/>
            <w:shd w:val="clear" w:color="auto" w:fill="FFFFFF"/>
          </w:tcPr>
          <w:p>
            <w:r>
              <w:rPr>
                <w:sz w:val="18"/>
              </w:rPr>
              <w:t>Token budget headroom</w:t>
            </w:r>
          </w:p>
        </w:tc>
        <w:tc>
          <w:tcPr>
            <w:tcW w:type="dxa" w:w="2160"/>
            <w:shd w:val="clear" w:color="auto" w:fill="FFFFFF"/>
          </w:tcPr>
          <w:p>
            <w:r>
              <w:rPr>
                <w:sz w:val="18"/>
              </w:rPr>
              <w:t>47%</w:t>
            </w:r>
          </w:p>
        </w:tc>
        <w:tc>
          <w:tcPr>
            <w:tcW w:type="dxa" w:w="2160"/>
            <w:shd w:val="clear" w:color="auto" w:fill="FFFFFF"/>
          </w:tcPr>
          <w:p>
            <w:r>
              <w:rPr>
                <w:sz w:val="18"/>
              </w:rPr>
              <w:t>43%</w:t>
            </w:r>
          </w:p>
        </w:tc>
        <w:tc>
          <w:tcPr>
            <w:tcW w:type="dxa" w:w="2160"/>
            <w:shd w:val="clear" w:color="auto" w:fill="FFFFFF"/>
          </w:tcPr>
          <w:p>
            <w:r>
              <w:rPr>
                <w:sz w:val="18"/>
              </w:rPr>
              <w:t>43%</w:t>
            </w:r>
          </w:p>
        </w:tc>
      </w:tr>
      <w:tr>
        <w:tc>
          <w:tcPr>
            <w:tcW w:type="dxa" w:w="2160"/>
            <w:shd w:val="clear" w:color="auto" w:fill="F5F5F5"/>
          </w:tcPr>
          <w:p>
            <w:r>
              <w:rPr>
                <w:sz w:val="18"/>
              </w:rPr>
              <w:t>MAD quality first score</w:t>
            </w:r>
          </w:p>
        </w:tc>
        <w:tc>
          <w:tcPr>
            <w:tcW w:type="dxa" w:w="2160"/>
            <w:shd w:val="clear" w:color="auto" w:fill="F5F5F5"/>
          </w:tcPr>
          <w:p>
            <w:r>
              <w:rPr>
                <w:sz w:val="18"/>
              </w:rPr>
              <w:t>N/A</w:t>
            </w:r>
          </w:p>
        </w:tc>
        <w:tc>
          <w:tcPr>
            <w:tcW w:type="dxa" w:w="2160"/>
            <w:shd w:val="clear" w:color="auto" w:fill="F5F5F5"/>
          </w:tcPr>
          <w:p>
            <w:r>
              <w:rPr>
                <w:sz w:val="18"/>
              </w:rPr>
              <w:t>86.7%</w:t>
            </w:r>
          </w:p>
        </w:tc>
        <w:tc>
          <w:tcPr>
            <w:tcW w:type="dxa" w:w="2160"/>
            <w:shd w:val="clear" w:color="auto" w:fill="F5F5F5"/>
          </w:tcPr>
          <w:p>
            <w:r>
              <w:rPr>
                <w:sz w:val="18"/>
              </w:rPr>
              <w:t>86.7%</w:t>
            </w:r>
          </w:p>
        </w:tc>
      </w:tr>
      <w:tr>
        <w:tc>
          <w:tcPr>
            <w:tcW w:type="dxa" w:w="2160"/>
            <w:shd w:val="clear" w:color="auto" w:fill="FFFFFF"/>
          </w:tcPr>
          <w:p>
            <w:r>
              <w:rPr>
                <w:sz w:val="18"/>
              </w:rPr>
              <w:t>New rules registered</w:t>
            </w:r>
          </w:p>
        </w:tc>
        <w:tc>
          <w:tcPr>
            <w:tcW w:type="dxa" w:w="2160"/>
            <w:shd w:val="clear" w:color="auto" w:fill="FFFFFF"/>
          </w:tcPr>
          <w:p>
            <w:r>
              <w:rPr>
                <w:sz w:val="18"/>
              </w:rPr>
              <w:t>0</w:t>
            </w:r>
          </w:p>
        </w:tc>
        <w:tc>
          <w:tcPr>
            <w:tcW w:type="dxa" w:w="2160"/>
            <w:shd w:val="clear" w:color="auto" w:fill="FFFFFF"/>
          </w:tcPr>
          <w:p>
            <w:r>
              <w:rPr>
                <w:sz w:val="18"/>
              </w:rPr>
              <w:t>1 (PHI-003 Teenager Standard)</w:t>
            </w:r>
          </w:p>
        </w:tc>
        <w:tc>
          <w:tcPr>
            <w:tcW w:type="dxa" w:w="2160"/>
            <w:shd w:val="clear" w:color="auto" w:fill="FFFFFF"/>
          </w:tcPr>
          <w:p>
            <w:r>
              <w:rPr>
                <w:sz w:val="18"/>
              </w:rPr>
              <w:t>1</w:t>
            </w:r>
          </w:p>
        </w:tc>
      </w:tr>
      <w:tr>
        <w:tc>
          <w:tcPr>
            <w:tcW w:type="dxa" w:w="2160"/>
            <w:shd w:val="clear" w:color="auto" w:fill="F5F5F5"/>
          </w:tcPr>
          <w:p>
            <w:r>
              <w:rPr>
                <w:sz w:val="18"/>
              </w:rPr>
              <w:t>Sources evaluated for addition</w:t>
            </w:r>
          </w:p>
        </w:tc>
        <w:tc>
          <w:tcPr>
            <w:tcW w:type="dxa" w:w="2160"/>
            <w:shd w:val="clear" w:color="auto" w:fill="F5F5F5"/>
          </w:tcPr>
          <w:p>
            <w:r>
              <w:rPr>
                <w:sz w:val="18"/>
              </w:rPr>
              <w:t>13 (URL list from James)</w:t>
            </w:r>
          </w:p>
        </w:tc>
        <w:tc>
          <w:tcPr>
            <w:tcW w:type="dxa" w:w="2160"/>
            <w:shd w:val="clear" w:color="auto" w:fill="F5F5F5"/>
          </w:tcPr>
          <w:p>
            <w:r>
              <w:rPr>
                <w:sz w:val="18"/>
              </w:rPr>
              <w:t>—</w:t>
            </w:r>
          </w:p>
        </w:tc>
        <w:tc>
          <w:tcPr>
            <w:tcW w:type="dxa" w:w="2160"/>
            <w:shd w:val="clear" w:color="auto" w:fill="F5F5F5"/>
          </w:tcPr>
          <w:p>
            <w:r>
              <w:rPr>
                <w:sz w:val="18"/>
              </w:rPr>
              <w:t>13</w:t>
            </w:r>
          </w:p>
        </w:tc>
      </w:tr>
    </w:tbl>
    <w:p/>
    <w:p>
      <w:pPr>
        <w:pStyle w:val="Heading1"/>
      </w:pPr>
      <w:r>
        <w:rPr>
          <w:color w:val="1B3A6B"/>
          <w:sz w:val="32"/>
        </w:rPr>
        <w:t>The Dream — Still True, More Proven</w:t>
      </w:r>
    </w:p>
    <w:tbl>
      <w:tblPr>
        <w:tblW w:type="auto" w:w="0"/>
        <w:tblLook w:firstColumn="1" w:firstRow="1" w:lastColumn="0" w:lastRow="0" w:noHBand="0" w:noVBand="1" w:val="04A0"/>
      </w:tblPr>
      <w:tblGrid>
        <w:gridCol w:w="8640"/>
      </w:tblGrid>
      <w:tr>
        <w:tc>
          <w:tcPr>
            <w:tcW w:type="dxa" w:w="8640"/>
            <w:shd w:val="clear" w:color="auto" w:fill="DEEAF1"/>
          </w:tcPr>
          <w:p>
            <w:r>
              <w:rPr>
                <w:sz w:val="20"/>
              </w:rPr>
              <w:t>"Intelligence should not be a privilege. It should be a right."</w:t>
              <w:br/>
              <w:br/>
              <w:t>S37+S38 proved this in a new way: not just by running for free, but by asking whether the intelligence actually serves the people it was built for.</w:t>
              <w:br/>
              <w:br/>
              <w:t>A teenager told us the answer: not yet, but closer.</w:t>
              <w:br/>
              <w:br/>
              <w:t>The FFF section now requires background context, honest positions, and practical guidance.</w:t>
              <w:br/>
              <w:t>The scoring formula now rewards human security content.</w:t>
              <w:br/>
              <w:t>The forensic trace now shows every decision.</w:t>
              <w:br/>
              <w:t>The sources now include ICIJ, DFRLab, SIPRI — the investigators who surface hidden power.</w:t>
              <w:br/>
              <w:br/>
              <w:t>GNI is not perfect. But it is more honest than it was yesterday.</w:t>
              <w:br/>
              <w:t>That is the only standard that matters.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GNI S37+S38 Diary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