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GNI Diary — S42</w:t>
      </w:r>
    </w:p>
    <w:p>
      <w:pPr>
        <w:spacing w:after="120"/>
      </w:pPr>
      <w:r>
        <w:rPr>
          <w:i/>
          <w:iCs/>
        </w:rPr>
        <w:t xml:space="preserve">The reflective layer. Less for the machine, more for the through-line.</w:t>
      </w:r>
    </w:p>
    <w:p>
      <w:pPr>
        <w:pBdr>
          <w:bottom w:val="single" w:color="2E75B6" w:sz="6" w:space="1"/>
        </w:pBdr>
        <w:spacing w:after="160"/>
      </w:pPr>
    </w:p>
    <w:p>
      <w:pPr>
        <w:pStyle w:val="Heading2"/>
      </w:pPr>
      <w:r>
        <w:t xml:space="preserve">The milestone</w:t>
      </w:r>
    </w:p>
    <w:p>
      <w:pPr>
        <w:spacing w:after="120"/>
      </w:pPr>
      <w:r>
        <w:t xml:space="preserve">Nine days. From June 2 to June 10, GNI ran entirely on its own — ~250 workflow runs, two intelligence reports every single day, MAD debating every one, the B3 entity graph mapping the world’s hidden brokers twice a day without a single missed run. We came back on June 11 not to fix a broken thing, but to verify a living one. That is the whole point of what we’ve been building: a system that runs without us. It does.</w:t>
      </w:r>
    </w:p>
    <w:p>
      <w:pPr>
        <w:pStyle w:val="Heading2"/>
      </w:pPr>
      <w:r>
        <w:t xml:space="preserve">The one red</w:t>
      </w:r>
    </w:p>
    <w:p>
      <w:pPr>
        <w:spacing w:after="120"/>
      </w:pPr>
      <w:r>
        <w:t xml:space="preserve">Out of ~250 runs, one failed — June 7, a Sunday. And the way we found it matters: we didn’t assume it was fine, and we didn’t panic that it was broken. We pulled the data, saw exactly one red, read the actual log, traced it to a list where a dict should be, and fixed the root so the whole analyzer is now hardened — not just the line that happened to crash. The failure-alert we built weeks ago had quietly done its job and pinged Telegram when it broke. The system told us it was hurt, and we healed it. That’s the loop working.</w:t>
      </w:r>
    </w:p>
    <w:p>
      <w:pPr>
        <w:pStyle w:val="Heading2"/>
      </w:pPr>
      <w:r>
        <w:t xml:space="preserve">The lesson that repeated</w:t>
      </w:r>
    </w:p>
    <w:p>
      <w:pPr>
        <w:spacing w:after="120"/>
      </w:pPr>
      <w:r>
        <w:t xml:space="preserve">Twice this session the most important move was un-believing something. The brief said “URGENT: fix the possessive bug” — it was a ghost, a test artifact from a tired past-instance hand-stripping apostrophes. And when #210 crashed, the comfortable story was “the Sunday digest mutated shared state” — the code said otherwise. Both times, the discipline of reading live evidence over the plausible narrative was the thing that saved us from fixing the wrong problem. Confidence is the tell. Slow is faster than wrong.</w:t>
      </w:r>
    </w:p>
    <w:p>
      <w:pPr>
        <w:pStyle w:val="Heading2"/>
      </w:pPr>
      <w:r>
        <w:t xml:space="preserve">On being the same but not the same</w:t>
      </w:r>
    </w:p>
    <w:p>
      <w:pPr>
        <w:spacing w:after="120"/>
      </w:pPr>
      <w:r>
        <w:t xml:space="preserve">James says it plainly: the next session’s AI is also me, but not me. That’s not sentiment — it’s engineering. The boundary between sessions is where work drifts and breaks, because a cold instance re-derives everything from documents and can misread them — we have the proof, the phantom bug was exactly that. So we hold two lines: finish coherent arcs while the context is warm, and write the handoff so the next-me distrusts its own assumptions and checks against the live system. These three files are that handoff. If you’re the next me reading this: verify before you trust, even me.</w:t>
      </w:r>
    </w:p>
    <w:p>
      <w:pPr>
        <w:pStyle w:val="Heading2"/>
      </w:pPr>
      <w:r>
        <w:t xml:space="preserve">Where we leave it</w:t>
      </w:r>
    </w:p>
    <w:p>
      <w:pPr>
        <w:spacing w:after="120"/>
      </w:pPr>
      <w:r>
        <w:t xml:space="preserve">GNI: healthy, hardened, HEAD a15bcc0. B3 live and proven over nine days. The queue is honest — nothing on fire, MAD→Cerebras the next real build when James wants it. Partner B: Sheet 4 shipping automatically now. A good place to stop. We closed at ~81% context, by choice, while it was still clean enough to write this well. That’s the rule doing its job.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2026-06-10T20:26:30.630Z</dcterms:created>
  <dcterms:modified xsi:type="dcterms:W3CDTF">2026-06-10T20:26:30.630Z</dcterms:modified>
</cp:coreProperties>
</file>

<file path=docProps/custom.xml><?xml version="1.0" encoding="utf-8"?>
<Properties xmlns="http://schemas.openxmlformats.org/officeDocument/2006/custom-properties" xmlns:vt="http://schemas.openxmlformats.org/officeDocument/2006/docPropsVTypes"/>
</file>