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36"/>
          <w:szCs w:val="36"/>
        </w:rPr>
        <w:t xml:space="preserve">REPUBLIC OF UGANDA</w:t>
      </w:r>
    </w:p>
    <w:p>
      <w:pPr>
        <w:spacing w:after="100"/>
        <w:jc w:val="center"/>
      </w:pPr>
      <w:r>
        <w:rPr>
          <w:rFonts w:ascii="Arial" w:cs="Arial" w:eastAsia="Arial" w:hAnsi="Arial"/>
          <w:b/>
          <w:bCs/>
          <w:color w:val="2E75B6"/>
          <w:sz w:val="28"/>
          <w:szCs w:val="28"/>
        </w:rPr>
        <w:t xml:space="preserve">MINISTRY OF ICT &amp; NATIONAL GUIDANCE</w:t>
      </w:r>
    </w:p>
    <w:p>
      <w:pPr>
        <w:spacing w:after="600"/>
        <w:jc w:val="center"/>
      </w:pPr>
      <w:r>
        <w:rPr>
          <w:rFonts w:ascii="Arial" w:cs="Arial" w:eastAsia="Arial" w:hAnsi="Arial"/>
          <w:b/>
          <w:bCs/>
          <w:color w:val="2E75B6"/>
          <w:sz w:val="22"/>
          <w:szCs w:val="22"/>
        </w:rPr>
        <w:t xml:space="preserve">NATIONAL INFORMATION TECHNOLOGY AUTHORITY – UGANDA (NITA-U)</w:t>
      </w:r>
    </w:p>
    <w:p>
      <w:pPr>
        <w:spacing w:after="100"/>
        <w:jc w:val="center"/>
      </w:pPr>
      <w:r>
        <w:rPr>
          <w:rFonts w:ascii="Arial" w:cs="Arial" w:eastAsia="Arial" w:hAnsi="Arial"/>
          <w:color w:val="1F4E79"/>
          <w:sz w:val="24"/>
          <w:szCs w:val="24"/>
        </w:rPr>
        <w:t xml:space="preserve">___________________________________________</w:t>
      </w:r>
    </w:p>
    <w:p>
      <w:pPr>
        <w:spacing w:before="400"/>
      </w:pPr>
    </w:p>
    <w:p>
      <w:pPr>
        <w:spacing w:after="200"/>
        <w:jc w:val="center"/>
      </w:pPr>
      <w:r>
        <w:rPr>
          <w:rFonts w:ascii="Arial" w:cs="Arial" w:eastAsia="Arial" w:hAnsi="Arial"/>
          <w:b/>
          <w:bCs/>
          <w:color w:val="1F4E79"/>
          <w:sz w:val="44"/>
          <w:szCs w:val="44"/>
        </w:rPr>
        <w:t xml:space="preserve">PROJECT PROPOSAL</w:t>
      </w:r>
    </w:p>
    <w:p>
      <w:pPr>
        <w:spacing w:after="300"/>
        <w:jc w:val="center"/>
      </w:pPr>
      <w:r>
        <w:rPr>
          <w:rFonts w:ascii="Arial" w:cs="Arial" w:eastAsia="Arial" w:hAnsi="Arial"/>
          <w:b/>
          <w:bCs/>
          <w:color w:val="2E75B6"/>
          <w:sz w:val="32"/>
          <w:szCs w:val="32"/>
        </w:rPr>
        <w:t xml:space="preserve">Unified Government Service Portal (UGSP)</w:t>
      </w:r>
    </w:p>
    <w:p>
      <w:pPr>
        <w:spacing w:after="100"/>
        <w:jc w:val="center"/>
      </w:pPr>
      <w:r>
        <w:rPr>
          <w:rFonts w:ascii="Arial" w:cs="Arial" w:eastAsia="Arial" w:hAnsi="Arial"/>
          <w:color w:val="333333"/>
          <w:sz w:val="24"/>
          <w:szCs w:val="24"/>
        </w:rPr>
        <w:t xml:space="preserve">A Single, Integrated Digital Window for Citizens, Businesses, and Visitors</w:t>
      </w:r>
    </w:p>
    <w:p>
      <w:pPr>
        <w:spacing w:before="600"/>
      </w:pPr>
    </w:p>
    <w:p>
      <w:pPr>
        <w:spacing w:after="100"/>
        <w:jc w:val="center"/>
      </w:pPr>
      <w:r>
        <w:rPr>
          <w:rFonts w:ascii="Arial" w:cs="Arial" w:eastAsia="Arial" w:hAnsi="Arial"/>
          <w:b/>
          <w:bCs/>
          <w:color w:val="C00000"/>
          <w:sz w:val="22"/>
          <w:szCs w:val="22"/>
        </w:rPr>
        <w:t xml:space="preserve">Classification: Confidential — For Government Use Only</w:t>
      </w:r>
    </w:p>
    <w:p>
      <w:pPr>
        <w:spacing w:after="100"/>
        <w:jc w:val="center"/>
      </w:pPr>
      <w:r>
        <w:rPr>
          <w:rFonts w:ascii="Arial" w:cs="Arial" w:eastAsia="Arial" w:hAnsi="Arial"/>
          <w:color w:val="333333"/>
          <w:sz w:val="22"/>
          <w:szCs w:val="22"/>
        </w:rPr>
        <w:t xml:space="preserve">Date: June 2026  |  Version 1.0</w:t>
      </w:r>
    </w:p>
    <w:p>
      <w:pPr>
        <w:sectPr>
          <w:pgSz w:w="12240" w:h="15840" w:orient="portrait"/>
          <w:pgMar w:top="1440" w:right="1440" w:bottom="1440" w:left="1440" w:header="708" w:footer="708" w:gutter="0"/>
          <w:pgNumType/>
          <w:docGrid w:linePitch="360"/>
        </w:sectPr>
      </w:pPr>
    </w:p>
    <w:p>
      <w:pPr>
        <w:pStyle w:val="Heading1"/>
        <w:spacing w:after="200" w:before="300"/>
      </w:pPr>
      <w:r>
        <w:rPr>
          <w:rFonts w:ascii="Arial" w:cs="Arial" w:eastAsia="Arial" w:hAnsi="Arial"/>
          <w:b/>
          <w:bCs/>
          <w:sz w:val="32"/>
          <w:szCs w:val="32"/>
        </w:rPr>
        <w:t xml:space="preserve">1. Executive Summary</w:t>
      </w:r>
    </w:p>
    <w:p>
      <w:pPr>
        <w:spacing w:after="120" w:line="276"/>
        <w:jc w:val="both"/>
      </w:pPr>
      <w:r>
        <w:rPr>
          <w:rFonts w:ascii="Arial" w:cs="Arial" w:eastAsia="Arial" w:hAnsi="Arial"/>
          <w:sz w:val="21"/>
          <w:szCs w:val="21"/>
        </w:rPr>
        <w:t xml:space="preserve">The Republic of Uganda stands at a pivotal inflection point in its digital transformation journey. With the Fourth National Development Plan (NDP IV: FY2025/26–FY2029/30) now operational, the Digital Uganda Vision (DUV) 2040 providing the strategic compass, and NITA-U’s newly launched Strategic Plan targeting an increase in active e-government service usage from 9.2 percent to 40 percent by FY2029/30, the imperative for a truly unified digital public service delivery platform has never been more urgent.</w:t>
      </w:r>
    </w:p>
    <w:p>
      <w:pPr>
        <w:spacing w:after="120" w:line="276"/>
        <w:jc w:val="both"/>
      </w:pPr>
      <w:r>
        <w:rPr>
          <w:rFonts w:ascii="Arial" w:cs="Arial" w:eastAsia="Arial" w:hAnsi="Arial"/>
          <w:sz w:val="21"/>
          <w:szCs w:val="21"/>
        </w:rPr>
        <w:t xml:space="preserve">This proposal presents the Unified Government Service Portal (UGSP) — a single, integrated digital window that consolidates access to all Government of Uganda services for citizens, businesses, and visitors. The UGSP is not merely a website redesign; it is a comprehensive digital public infrastructure (DPI) layer that builds upon and extends the foundational investments already made by the Government of Uganda: the UGHub data integration platform, the UGPass digital identity and electronic signature ecosystem, the National Backbone Infrastructure (NBI), and the National Data Centre.</w:t>
      </w:r>
    </w:p>
    <w:p>
      <w:pPr>
        <w:spacing w:after="120" w:line="276"/>
        <w:jc w:val="both"/>
      </w:pPr>
      <w:r>
        <w:rPr>
          <w:rFonts w:ascii="Arial" w:cs="Arial" w:eastAsia="Arial" w:hAnsi="Arial"/>
          <w:sz w:val="21"/>
          <w:szCs w:val="21"/>
        </w:rPr>
        <w:t xml:space="preserve">The strategic vision of the UGSP is to eliminate the fragmented, multi-portal experience that currently characterises e-government in Uganda. Where a citizen today must navigate separate logins, disjointed payment workflows, and siloed MDA websites to access services spanning NIRA, URA, URSB, the Ministry of Internal Affairs (passports and visas), and local government, the UGSP will offer a single sign-on (SSO) experience anchored on the Ndaga Muntu National ID, a unified omnichannel payment gateway, an integrated application lifecycle tracker, and proactive service recommendations powered by artificial intelligence.</w:t>
      </w:r>
    </w:p>
    <w:p>
      <w:pPr>
        <w:spacing w:after="120" w:line="276"/>
        <w:jc w:val="both"/>
      </w:pPr>
      <w:r>
        <w:rPr>
          <w:rFonts w:ascii="Arial" w:cs="Arial" w:eastAsia="Arial" w:hAnsi="Arial"/>
          <w:sz w:val="21"/>
          <w:szCs w:val="21"/>
        </w:rPr>
        <w:t xml:space="preserve">Aligned directly with Uganda’s Vision 2040 — which aspires to transform Ugandan society from a peasant to a modern and prosperous country within 30 years — the UGSP directly advances the five pillars of the Digital Transformation Roadmap: digital infrastructure and connectivity, digital services, cybersecurity and data protection, digital skills and literacy, and innovation and entrepreneurship. Critically, it operationalises the NITA-U Strategic Plan targets of connecting 73 percent of MDAs to the UGHub platform and raising public satisfaction with e-government services from 22.2 percent to 35 percent.</w:t>
      </w:r>
    </w:p>
    <w:p>
      <w:pPr>
        <w:pStyle w:val="Heading1"/>
        <w:spacing w:after="200" w:before="300"/>
      </w:pPr>
      <w:r>
        <w:rPr>
          <w:rFonts w:ascii="Arial" w:cs="Arial" w:eastAsia="Arial" w:hAnsi="Arial"/>
          <w:b/>
          <w:bCs/>
          <w:sz w:val="32"/>
          <w:szCs w:val="32"/>
        </w:rPr>
        <w:t xml:space="preserve">2. Current Digital Landscape &amp; Existing Integration Initiatives in Uganda</w:t>
      </w:r>
    </w:p>
    <w:p>
      <w:pPr>
        <w:spacing w:after="120" w:line="276"/>
        <w:jc w:val="both"/>
      </w:pPr>
      <w:r>
        <w:rPr>
          <w:rFonts w:ascii="Arial" w:cs="Arial" w:eastAsia="Arial" w:hAnsi="Arial"/>
          <w:sz w:val="21"/>
          <w:szCs w:val="21"/>
        </w:rPr>
        <w:t xml:space="preserve">Any proposal for a unified portal must be grounded in an accurate assessment of what already exists. Uganda has made substantial — if uneven — progress in building the components of a digital government. Understanding what is in place, what is operational, what is planned, and where the gaps lie is essential to designing a system that adds value rather than duplicating effort.</w:t>
      </w:r>
    </w:p>
    <w:p>
      <w:pPr>
        <w:pStyle w:val="Heading2"/>
        <w:spacing w:after="160" w:before="240"/>
      </w:pPr>
      <w:r>
        <w:rPr>
          <w:rFonts w:ascii="Arial" w:cs="Arial" w:eastAsia="Arial" w:hAnsi="Arial"/>
          <w:b/>
          <w:bCs/>
          <w:sz w:val="26"/>
          <w:szCs w:val="26"/>
        </w:rPr>
        <w:t xml:space="preserve">2.1 The Role of NITA-U as the Primary Custodian</w:t>
      </w:r>
    </w:p>
    <w:p>
      <w:pPr>
        <w:spacing w:after="120" w:line="276"/>
        <w:jc w:val="both"/>
      </w:pPr>
      <w:r>
        <w:rPr>
          <w:rFonts w:ascii="Arial" w:cs="Arial" w:eastAsia="Arial" w:hAnsi="Arial"/>
          <w:sz w:val="21"/>
          <w:szCs w:val="21"/>
        </w:rPr>
        <w:t xml:space="preserve">The National Information Technology Authority-Uganda (NITA-U), established under the NITA-U Act of 2009, is the statutory body mandated to coordinate, regulate, and implement Information Technology services across the Government of Uganda. Following the Government’s Rationalisation of Agencies and Public Expenditure (RAPEX) exercise, NITA-U is scheduled to be mainstreamed into the Ministry of ICT and National Guidance effective 23 December 2027, but until then operates as an autonomous body under the Ministry’s supervision.</w:t>
      </w:r>
    </w:p>
    <w:p>
      <w:pPr>
        <w:spacing w:after="120" w:line="276"/>
        <w:jc w:val="both"/>
      </w:pPr>
      <w:r>
        <w:rPr>
          <w:rFonts w:ascii="Arial" w:cs="Arial" w:eastAsia="Arial" w:hAnsi="Arial"/>
          <w:sz w:val="21"/>
          <w:szCs w:val="21"/>
        </w:rPr>
        <w:t xml:space="preserve">NITA-U’s mandate encompasses the planning, development, and maintenance of cross-government IT infrastructure, including the National Backbone Infrastructure (NBI) — currently spanning 4,387 km of optical fibre cable connecting 1,567 sites — the National Data Centre and its Disaster Recovery site, the government-wide integration platform (UGHub), the digital identity and PKI ecosystem (UGPass), and the existing citizen portal (gou.go.ug / ecitizen.go.ug). NITA-U generates over UGX 60 billion annually through its commercialisation model, sustaining network maintenance and expansion.</w:t>
      </w:r>
    </w:p>
    <w:p>
      <w:pPr>
        <w:spacing w:after="120" w:line="276"/>
        <w:jc w:val="both"/>
      </w:pPr>
      <w:r>
        <w:rPr>
          <w:rFonts w:ascii="Arial" w:cs="Arial" w:eastAsia="Arial" w:hAnsi="Arial"/>
          <w:sz w:val="21"/>
          <w:szCs w:val="21"/>
        </w:rPr>
        <w:t xml:space="preserve">NITA-U’s Strategic Plan FY2025/26–FY2029/30 establishes six strategic objectives: expansion of ICT infrastructure and connectivity; enhancement of smart e-government service access; strengthening cybersecurity and data protection; growth of BPO and IT-enabled services; improvement of regulatory compliance; and institutional performance management. The plan’s overarching goal — increasing active e-government adoption from 9.2 percent to 40 percent — provides the primary KPI against which the UGSP’s success must be measured.</w:t>
      </w:r>
    </w:p>
    <w:p>
      <w:pPr>
        <w:pStyle w:val="Heading2"/>
        <w:spacing w:after="160" w:before="240"/>
      </w:pPr>
      <w:r>
        <w:rPr>
          <w:rFonts w:ascii="Arial" w:cs="Arial" w:eastAsia="Arial" w:hAnsi="Arial"/>
          <w:b/>
          <w:bCs/>
          <w:sz w:val="26"/>
          <w:szCs w:val="26"/>
        </w:rPr>
        <w:t xml:space="preserve">2.2 The UGHub (Uganda Government Integration Platform)</w:t>
      </w:r>
    </w:p>
    <w:p>
      <w:pPr>
        <w:spacing w:after="120" w:line="276"/>
        <w:jc w:val="both"/>
      </w:pPr>
      <w:r>
        <w:rPr>
          <w:rFonts w:ascii="Arial" w:cs="Arial" w:eastAsia="Arial" w:hAnsi="Arial"/>
          <w:sz w:val="21"/>
          <w:szCs w:val="21"/>
        </w:rPr>
        <w:t xml:space="preserve">UGHub is the single most important technical asset upon which the UGSP will be built. Operational since 2016, UGHub is a data integration platform built on the WSO2 technology stack, entirely hosted within the Government of Uganda’s National Data Centre. It serves as a vendor-neutral, secure data exchange middleware connecting disparate government information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Current (2026)</w:t>
            </w:r>
          </w:p>
        </w:tc>
        <w:tc>
          <w:tcPr>
            <w:tcW w:type="dxa" w:w="3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Target (FY2029/30)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9"/>
                <w:szCs w:val="19"/>
              </w:rPr>
              <w:t xml:space="preserve">MDAs connected to UGHub</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9"/>
                <w:szCs w:val="19"/>
              </w:rPr>
              <w:t xml:space="preserve">37%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19"/>
                <w:szCs w:val="19"/>
              </w:rPr>
              <w:t xml:space="preserve">73%</w:t>
            </w:r>
          </w:p>
        </w:tc>
      </w:tr>
      <w:tr>
        <w:tc>
          <w:tcPr>
            <w:tcW w:type="dxa" w:w="312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9"/>
                <w:szCs w:val="19"/>
              </w:rPr>
              <w:t xml:space="preserve">Entities onboarded (total)</w:t>
            </w:r>
          </w:p>
        </w:tc>
        <w:tc>
          <w:tcPr>
            <w:tcW w:type="dxa" w:w="312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9"/>
                <w:szCs w:val="19"/>
              </w:rPr>
              <w:t xml:space="preserve">150+</w:t>
            </w:r>
          </w:p>
        </w:tc>
        <w:tc>
          <w:tcPr>
            <w:tcW w:type="dxa" w:w="312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9"/>
                <w:szCs w:val="19"/>
              </w:rPr>
              <w:t xml:space="preser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9"/>
                <w:szCs w:val="19"/>
              </w:rPr>
              <w:t xml:space="preserve">Transactions (6-month period)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9"/>
                <w:szCs w:val="19"/>
              </w:rPr>
              <w:t xml:space="preserve">26+ million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9"/>
                <w:szCs w:val="19"/>
              </w:rPr>
              <w:t xml:space="preserve">—</w:t>
            </w:r>
          </w:p>
        </w:tc>
      </w:tr>
    </w:tbl>
    <w:p>
      <w:pPr>
        <w:spacing w:after="120"/>
      </w:pPr>
    </w:p>
    <w:p>
      <w:pPr>
        <w:spacing w:after="120" w:line="276"/>
        <w:jc w:val="both"/>
      </w:pPr>
      <w:r>
        <w:rPr>
          <w:rFonts w:ascii="Arial" w:cs="Arial" w:eastAsia="Arial" w:hAnsi="Arial"/>
          <w:sz w:val="21"/>
          <w:szCs w:val="21"/>
        </w:rPr>
        <w:t xml:space="preserve">Critical Gap: Despite its technical maturity, UGHub currently functions primarily as a backend data exchange layer. It does not provide a unified citizen-facing presentation layer with consistent UX, single sign-on, or cross-MDA service orchestration. This is the precise gap the UGSP is designed to fill.</w:t>
      </w:r>
    </w:p>
    <w:p>
      <w:pPr>
        <w:pStyle w:val="Heading2"/>
        <w:spacing w:after="160" w:before="240"/>
      </w:pPr>
      <w:r>
        <w:rPr>
          <w:rFonts w:ascii="Arial" w:cs="Arial" w:eastAsia="Arial" w:hAnsi="Arial"/>
          <w:b/>
          <w:bCs/>
          <w:sz w:val="26"/>
          <w:szCs w:val="26"/>
        </w:rPr>
        <w:t xml:space="preserve">2.3 Existing Public-Facing Portals</w:t>
      </w:r>
    </w:p>
    <w:p>
      <w:pPr>
        <w:pStyle w:val="Heading3"/>
        <w:spacing w:after="120" w:before="200"/>
      </w:pPr>
      <w:r>
        <w:rPr>
          <w:rFonts w:ascii="Arial" w:cs="Arial" w:eastAsia="Arial" w:hAnsi="Arial"/>
          <w:b/>
          <w:bCs/>
          <w:sz w:val="24"/>
          <w:szCs w:val="24"/>
        </w:rPr>
        <w:t xml:space="preserve">The e-Citizen Portal (ecitizen.go.ug)</w:t>
      </w:r>
    </w:p>
    <w:p>
      <w:pPr>
        <w:spacing w:after="120" w:line="276"/>
        <w:jc w:val="both"/>
      </w:pPr>
      <w:r>
        <w:rPr>
          <w:rFonts w:ascii="Arial" w:cs="Arial" w:eastAsia="Arial" w:hAnsi="Arial"/>
          <w:sz w:val="21"/>
          <w:szCs w:val="21"/>
        </w:rPr>
        <w:t xml:space="preserve">Launched in 2015 by NITA-U, the e-Citizen portal was conceived as a one-stop shop aggregating links to 86 government online services. Critical gaps include: link aggregation rather than native service integration; no unified single sign-on; no integrated payment orchestration; limited transaction tracking; no USSD/SMS fallback; and outdated content and stale links.</w:t>
      </w:r>
    </w:p>
    <w:p>
      <w:pPr>
        <w:pStyle w:val="Heading3"/>
        <w:spacing w:after="120" w:before="200"/>
      </w:pPr>
      <w:r>
        <w:rPr>
          <w:rFonts w:ascii="Arial" w:cs="Arial" w:eastAsia="Arial" w:hAnsi="Arial"/>
          <w:b/>
          <w:bCs/>
          <w:sz w:val="24"/>
          <w:szCs w:val="24"/>
        </w:rPr>
        <w:t xml:space="preserve">The Government Portal (gou.go.ug)</w:t>
      </w:r>
    </w:p>
    <w:p>
      <w:pPr>
        <w:spacing w:after="120" w:line="276"/>
        <w:jc w:val="both"/>
      </w:pPr>
      <w:r>
        <w:rPr>
          <w:rFonts w:ascii="Arial" w:cs="Arial" w:eastAsia="Arial" w:hAnsi="Arial"/>
          <w:sz w:val="21"/>
          <w:szCs w:val="21"/>
        </w:rPr>
        <w:t xml:space="preserve">This informational portal provides directory-style access to ministry websites and public information. It functions as a static brochure rather than a transactional platform.</w:t>
      </w:r>
    </w:p>
    <w:p>
      <w:pPr>
        <w:pStyle w:val="Heading2"/>
        <w:spacing w:after="160" w:before="240"/>
      </w:pPr>
      <w:r>
        <w:rPr>
          <w:rFonts w:ascii="Arial" w:cs="Arial" w:eastAsia="Arial" w:hAnsi="Arial"/>
          <w:b/>
          <w:bCs/>
          <w:sz w:val="26"/>
          <w:szCs w:val="26"/>
        </w:rPr>
        <w:t xml:space="preserve">2.4 Key Foundational Systems Requiring Integration</w:t>
      </w:r>
    </w:p>
    <w:p>
      <w:pPr>
        <w:pStyle w:val="Heading3"/>
        <w:spacing w:after="120" w:before="200"/>
      </w:pPr>
      <w:r>
        <w:rPr>
          <w:rFonts w:ascii="Arial" w:cs="Arial" w:eastAsia="Arial" w:hAnsi="Arial"/>
          <w:b/>
          <w:bCs/>
          <w:sz w:val="24"/>
          <w:szCs w:val="24"/>
        </w:rPr>
        <w:t xml:space="preserve">NIRA — National ID &amp; e-KYC</w:t>
      </w:r>
    </w:p>
    <w:p>
      <w:pPr>
        <w:spacing w:after="120" w:line="276"/>
        <w:jc w:val="both"/>
      </w:pPr>
      <w:r>
        <w:rPr>
          <w:rFonts w:ascii="Arial" w:cs="Arial" w:eastAsia="Arial" w:hAnsi="Arial"/>
          <w:sz w:val="21"/>
          <w:szCs w:val="21"/>
        </w:rPr>
        <w:t xml:space="preserve">NIRA manages Uganda’s National Identity Register. Key developments: 28 million biometric records migrated to MOSIP (first completed brownfield implementation globally); 5,665 next-generation biometric registration kits with iris scanning deployed nationwide; redesigned Ndaga Muntu card with MRZ, 2D barcode, digital signature, and Mobile ID; e-KYC system serving 74+ financial institutions for real-time identity verification.</w:t>
      </w:r>
    </w:p>
    <w:p>
      <w:pPr>
        <w:pStyle w:val="Heading3"/>
        <w:spacing w:after="120" w:before="200"/>
      </w:pPr>
      <w:r>
        <w:rPr>
          <w:rFonts w:ascii="Arial" w:cs="Arial" w:eastAsia="Arial" w:hAnsi="Arial"/>
          <w:b/>
          <w:bCs/>
          <w:sz w:val="24"/>
          <w:szCs w:val="24"/>
        </w:rPr>
        <w:t xml:space="preserve">URA — e-Tax and PRN Generation</w:t>
      </w:r>
    </w:p>
    <w:p>
      <w:pPr>
        <w:spacing w:after="120" w:line="276"/>
        <w:jc w:val="both"/>
      </w:pPr>
      <w:r>
        <w:rPr>
          <w:rFonts w:ascii="Arial" w:cs="Arial" w:eastAsia="Arial" w:hAnsi="Arial"/>
          <w:sz w:val="21"/>
          <w:szCs w:val="21"/>
        </w:rPr>
        <w:t xml:space="preserve">URA’s e-Tax platform handles tax registration, returns filing, and payment through the Payment Registration Number (PRN) system. Features include PRN generation via web portal and MTN MoMo (*165*18#); integration with all commercial banks, mobile money, and POS systems; and EFRIS for real-time transaction reporting.</w:t>
      </w:r>
    </w:p>
    <w:p>
      <w:pPr>
        <w:pStyle w:val="Heading3"/>
        <w:spacing w:after="120" w:before="200"/>
      </w:pPr>
      <w:r>
        <w:rPr>
          <w:rFonts w:ascii="Arial" w:cs="Arial" w:eastAsia="Arial" w:hAnsi="Arial"/>
          <w:b/>
          <w:bCs/>
          <w:sz w:val="24"/>
          <w:szCs w:val="24"/>
        </w:rPr>
        <w:t xml:space="preserve">URSB — Business Registration</w:t>
      </w:r>
    </w:p>
    <w:p>
      <w:pPr>
        <w:spacing w:after="120" w:line="276"/>
        <w:jc w:val="both"/>
      </w:pPr>
      <w:r>
        <w:rPr>
          <w:rFonts w:ascii="Arial" w:cs="Arial" w:eastAsia="Arial" w:hAnsi="Arial"/>
          <w:sz w:val="21"/>
          <w:szCs w:val="21"/>
        </w:rPr>
        <w:t xml:space="preserve">The Online Business Registration System (OBRS) has registered over 36,885 businesses and 83,966 companies in its first year, processed 509,368 documents, and collected UGX 90+ billion in Non-Tax Revenue. It is integrated in real time with NIRA for identity verification and URA for tax compliance.</w:t>
      </w:r>
    </w:p>
    <w:p>
      <w:pPr>
        <w:pStyle w:val="Heading3"/>
        <w:spacing w:after="120" w:before="200"/>
      </w:pPr>
      <w:r>
        <w:rPr>
          <w:rFonts w:ascii="Arial" w:cs="Arial" w:eastAsia="Arial" w:hAnsi="Arial"/>
          <w:b/>
          <w:bCs/>
          <w:sz w:val="24"/>
          <w:szCs w:val="24"/>
        </w:rPr>
        <w:t xml:space="preserve">Mobile Money Networks</w:t>
      </w:r>
    </w:p>
    <w:p>
      <w:pPr>
        <w:spacing w:after="120" w:line="276"/>
        <w:jc w:val="both"/>
      </w:pPr>
      <w:r>
        <w:rPr>
          <w:rFonts w:ascii="Arial" w:cs="Arial" w:eastAsia="Arial" w:hAnsi="Arial"/>
          <w:sz w:val="21"/>
          <w:szCs w:val="21"/>
        </w:rPr>
        <w:t xml:space="preserve">Uganda has 36.7 million active mobile money accounts processing 2.37 billion transactions quarterly. MTN Uganda’s fintech revenue reached UGX 1.1 trillion in 2025. The URA-MTN MoMo partnership (*165*18#) has established a working P2G payment channel.</w:t>
      </w:r>
    </w:p>
    <w:p>
      <w:pPr>
        <w:pStyle w:val="Heading3"/>
        <w:spacing w:after="120" w:before="200"/>
      </w:pPr>
      <w:r>
        <w:rPr>
          <w:rFonts w:ascii="Arial" w:cs="Arial" w:eastAsia="Arial" w:hAnsi="Arial"/>
          <w:b/>
          <w:bCs/>
          <w:sz w:val="24"/>
          <w:szCs w:val="24"/>
        </w:rPr>
        <w:t xml:space="preserve">UGPass — Digital Identity and PKI Ecosystem</w:t>
      </w:r>
    </w:p>
    <w:p>
      <w:pPr>
        <w:spacing w:after="120" w:line="276"/>
        <w:jc w:val="both"/>
      </w:pPr>
      <w:r>
        <w:rPr>
          <w:rFonts w:ascii="Arial" w:cs="Arial" w:eastAsia="Arial" w:hAnsi="Arial"/>
          <w:sz w:val="21"/>
          <w:szCs w:val="21"/>
        </w:rPr>
        <w:t xml:space="preserve">UGPass, unveiled in August 2025, is Uganda’s digital authentication and electronic signature platform built on PKI. It enables National ID-based authentication, legally binding e-signatures, a secure digital document vault, and integration with NIRA and immigration databases.</w:t>
      </w:r>
    </w:p>
    <w:p>
      <w:pPr>
        <w:pStyle w:val="Heading2"/>
        <w:spacing w:after="160" w:before="240"/>
      </w:pPr>
      <w:r>
        <w:rPr>
          <w:rFonts w:ascii="Arial" w:cs="Arial" w:eastAsia="Arial" w:hAnsi="Arial"/>
          <w:b/>
          <w:bCs/>
          <w:sz w:val="26"/>
          <w:szCs w:val="26"/>
        </w:rPr>
        <w:t xml:space="preserve">2.5 Summary of Current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Domain</w:t>
            </w:r>
          </w:p>
        </w:tc>
        <w:tc>
          <w:tcPr>
            <w:tcW w:type="dxa" w:w="37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Status</w:t>
            </w:r>
          </w:p>
        </w:tc>
        <w:tc>
          <w:tcPr>
            <w:tcW w:type="dxa" w:w="37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Gap Addressed by UGSP</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9"/>
                <w:szCs w:val="19"/>
              </w:rPr>
              <w:t xml:space="preserve">Data Exchange (UGHub)</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9"/>
                <w:szCs w:val="19"/>
              </w:rPr>
              <w:t xml:space="preserve">Operational, 37% MDA coverage</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9"/>
                <w:szCs w:val="19"/>
              </w:rPr>
              <w:t xml:space="preserve">Expand to 73%; add presentation layer</w:t>
            </w:r>
          </w:p>
        </w:tc>
      </w:tr>
      <w:tr>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b/>
                <w:bCs/>
                <w:sz w:val="19"/>
                <w:szCs w:val="19"/>
              </w:rPr>
              <w:t xml:space="preserve">Digital Identity (UGPass)</w:t>
            </w:r>
          </w:p>
        </w:tc>
        <w:tc>
          <w:tcPr>
            <w:tcW w:type="dxa" w:w="378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9"/>
                <w:szCs w:val="19"/>
              </w:rPr>
              <w:t xml:space="preserve">Pilot launched Aug 2025</w:t>
            </w:r>
          </w:p>
        </w:tc>
        <w:tc>
          <w:tcPr>
            <w:tcW w:type="dxa" w:w="378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9"/>
                <w:szCs w:val="19"/>
              </w:rPr>
              <w:t xml:space="preserve">Mainstream across all MDA services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9"/>
                <w:szCs w:val="19"/>
              </w:rPr>
              <w:t xml:space="preserve">Payment Processing</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9"/>
                <w:szCs w:val="19"/>
              </w:rPr>
              <w:t xml:space="preserve">Fragmented (URA PRN, banks, mobile)</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9"/>
                <w:szCs w:val="19"/>
              </w:rPr>
              <w:t xml:space="preserve">Unified, omnichannel UGPay Gateway</w:t>
            </w:r>
          </w:p>
        </w:tc>
      </w:tr>
      <w:tr>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b/>
                <w:bCs/>
                <w:sz w:val="19"/>
                <w:szCs w:val="19"/>
              </w:rPr>
              <w:t xml:space="preserve">Citizen Portal</w:t>
            </w:r>
          </w:p>
        </w:tc>
        <w:tc>
          <w:tcPr>
            <w:tcW w:type="dxa" w:w="378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9"/>
                <w:szCs w:val="19"/>
              </w:rPr>
              <w:t xml:space="preserve">Link aggregation only</w:t>
            </w:r>
          </w:p>
        </w:tc>
        <w:tc>
          <w:tcPr>
            <w:tcW w:type="dxa" w:w="378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9"/>
                <w:szCs w:val="19"/>
              </w:rPr>
              <w:t xml:space="preserve">Native service hosting, SSO, tracking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9"/>
                <w:szCs w:val="19"/>
              </w:rPr>
              <w:t xml:space="preserve">National ID</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9"/>
                <w:szCs w:val="19"/>
              </w:rPr>
              <w:t xml:space="preserve">MOSIP migration complete</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9"/>
                <w:szCs w:val="19"/>
              </w:rPr>
              <w:t xml:space="preserve">Foundation for SSO authentication</w:t>
            </w:r>
          </w:p>
        </w:tc>
      </w:tr>
      <w:tr>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b/>
                <w:bCs/>
                <w:sz w:val="19"/>
                <w:szCs w:val="19"/>
              </w:rPr>
              <w:t xml:space="preserve">Offline Access</w:t>
            </w:r>
          </w:p>
        </w:tc>
        <w:tc>
          <w:tcPr>
            <w:tcW w:type="dxa" w:w="378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9"/>
                <w:szCs w:val="19"/>
              </w:rPr>
              <w:t xml:space="preserve">Non-existent</w:t>
            </w:r>
          </w:p>
        </w:tc>
        <w:tc>
          <w:tcPr>
            <w:tcW w:type="dxa" w:w="378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9"/>
                <w:szCs w:val="19"/>
              </w:rPr>
              <w:t xml:space="preserve">USSD/SMS/agent-network fallback</w:t>
            </w:r>
          </w:p>
        </w:tc>
      </w:tr>
    </w:tbl>
    <w:p>
      <w:pPr>
        <w:pStyle w:val="Heading1"/>
        <w:spacing w:after="200" w:before="300"/>
      </w:pPr>
      <w:r>
        <w:rPr>
          <w:rFonts w:ascii="Arial" w:cs="Arial" w:eastAsia="Arial" w:hAnsi="Arial"/>
          <w:b/>
          <w:bCs/>
          <w:sz w:val="32"/>
          <w:szCs w:val="32"/>
        </w:rPr>
        <w:t xml:space="preserve">3. Comprehensive System Architecture &amp; Core Scope</w:t>
      </w:r>
    </w:p>
    <w:p>
      <w:pPr>
        <w:spacing w:after="120" w:line="276"/>
        <w:jc w:val="both"/>
      </w:pPr>
      <w:r>
        <w:rPr>
          <w:rFonts w:ascii="Arial" w:cs="Arial" w:eastAsia="Arial" w:hAnsi="Arial"/>
          <w:sz w:val="21"/>
          <w:szCs w:val="21"/>
        </w:rPr>
        <w:t xml:space="preserve">The UGSP architecture adopts a layered, API-first, open-standards approach built on four tiers: (1) Presentation Layer — multi-channel interfaces (web, mobile, USSD, chatbot, kiosks); (2) Orchestration Layer — service composition, workflow management, business rules engine; (3) Integration Layer — connection to UGHub for MDA system interoperability; (4) Foundation Layer — core registries (NIRA, URA, URSB, Lands, Immigration).</w:t>
      </w:r>
    </w:p>
    <w:p>
      <w:pPr>
        <w:pStyle w:val="Heading2"/>
        <w:spacing w:after="160" w:before="240"/>
      </w:pPr>
      <w:r>
        <w:rPr>
          <w:rFonts w:ascii="Arial" w:cs="Arial" w:eastAsia="Arial" w:hAnsi="Arial"/>
          <w:b/>
          <w:bCs/>
          <w:sz w:val="26"/>
          <w:szCs w:val="26"/>
        </w:rPr>
        <w:t xml:space="preserve">3.1 Unified Citizen Profile and SSO</w:t>
      </w:r>
    </w:p>
    <w:p>
      <w:pPr>
        <w:spacing w:after="120" w:line="276"/>
        <w:jc w:val="both"/>
      </w:pPr>
      <w:r>
        <w:rPr>
          <w:rFonts w:ascii="Arial" w:cs="Arial" w:eastAsia="Arial" w:hAnsi="Arial"/>
          <w:sz w:val="21"/>
          <w:szCs w:val="21"/>
        </w:rPr>
        <w:t xml:space="preserve">Every UGSP user will have a single digital profile linked to their National Identification Number (NIN). Authentication proceeds through UGPass: primary via NIN + biometric/OTP; secondary via digital certificate for high-assurance transactions. Business owners link NIN to URSB-registered companies via TIN for role-based access.</w:t>
      </w:r>
    </w:p>
    <w:p>
      <w:pPr>
        <w:pStyle w:val="Heading2"/>
        <w:spacing w:after="160" w:before="240"/>
      </w:pPr>
      <w:r>
        <w:rPr>
          <w:rFonts w:ascii="Arial" w:cs="Arial" w:eastAsia="Arial" w:hAnsi="Arial"/>
          <w:b/>
          <w:bCs/>
          <w:sz w:val="26"/>
          <w:szCs w:val="26"/>
        </w:rPr>
        <w:t xml:space="preserve">3.2 Unified Service Catalogue</w:t>
      </w:r>
    </w:p>
    <w:p>
      <w:pPr>
        <w:spacing w:after="120" w:line="276"/>
        <w:jc w:val="both"/>
      </w:pPr>
      <w:r>
        <w:rPr>
          <w:rFonts w:ascii="Arial" w:cs="Arial" w:eastAsia="Arial" w:hAnsi="Arial"/>
          <w:sz w:val="21"/>
          <w:szCs w:val="21"/>
        </w:rPr>
        <w:t xml:space="preserve">A government-wide, structured inventory of every public-facing service across all MDAs, including service name, required documents, fees, processing timelines, and digital readiness level. Maintained as a live registry synchronised with UGHub.</w:t>
      </w:r>
    </w:p>
    <w:p>
      <w:pPr>
        <w:pStyle w:val="Heading2"/>
        <w:spacing w:after="160" w:before="240"/>
      </w:pPr>
      <w:r>
        <w:rPr>
          <w:rFonts w:ascii="Arial" w:cs="Arial" w:eastAsia="Arial" w:hAnsi="Arial"/>
          <w:b/>
          <w:bCs/>
          <w:sz w:val="26"/>
          <w:szCs w:val="26"/>
        </w:rPr>
        <w:t xml:space="preserve">3.3 Application Lifecycle Management</w:t>
      </w:r>
    </w:p>
    <w:p>
      <w:pPr>
        <w:spacing w:after="120" w:line="276"/>
        <w:jc w:val="both"/>
      </w:pPr>
      <w:r>
        <w:rPr>
          <w:rFonts w:ascii="Arial" w:cs="Arial" w:eastAsia="Arial" w:hAnsi="Arial"/>
          <w:sz w:val="21"/>
          <w:szCs w:val="21"/>
        </w:rPr>
        <w:t xml:space="preserve">For every service request: application submission with pre-populated data; real-time status tracking; digitally signed document issuance with UGPass e-seals and QR codes; multi-channel notifications at every milestone.</w:t>
      </w:r>
    </w:p>
    <w:p>
      <w:pPr>
        <w:pStyle w:val="Heading2"/>
        <w:spacing w:after="160" w:before="240"/>
      </w:pPr>
      <w:r>
        <w:rPr>
          <w:rFonts w:ascii="Arial" w:cs="Arial" w:eastAsia="Arial" w:hAnsi="Arial"/>
          <w:b/>
          <w:bCs/>
          <w:sz w:val="26"/>
          <w:szCs w:val="26"/>
        </w:rPr>
        <w:t xml:space="preserve">3.4 The UGPay Gateway</w:t>
      </w:r>
    </w:p>
    <w:p>
      <w:pPr>
        <w:spacing w:after="120" w:line="276"/>
        <w:jc w:val="both"/>
      </w:pPr>
      <w:r>
        <w:rPr>
          <w:rFonts w:ascii="Arial" w:cs="Arial" w:eastAsia="Arial" w:hAnsi="Arial"/>
          <w:sz w:val="21"/>
          <w:szCs w:val="21"/>
        </w:rPr>
        <w:t xml:space="preserve">A central payment orchestration layer supporting MTN MoMo, Airtel Money, Visa/Mastercard, bank transfers, USSD, and agent cash. Users select multiple services (cart model), receive a consolidated invoice, and complete a single checkout. UGPay reconciles and distributes funds to MDA accounts via URA’s NTR framework.</w:t>
      </w:r>
    </w:p>
    <w:p>
      <w:pPr>
        <w:pStyle w:val="Heading2"/>
        <w:spacing w:after="160" w:before="240"/>
      </w:pPr>
      <w:r>
        <w:rPr>
          <w:rFonts w:ascii="Arial" w:cs="Arial" w:eastAsia="Arial" w:hAnsi="Arial"/>
          <w:b/>
          <w:bCs/>
          <w:sz w:val="26"/>
          <w:szCs w:val="26"/>
        </w:rPr>
        <w:t xml:space="preserve">3.5 MDA Service Provider Portal</w:t>
      </w:r>
    </w:p>
    <w:p>
      <w:pPr>
        <w:spacing w:after="120" w:line="276"/>
        <w:jc w:val="both"/>
      </w:pPr>
      <w:r>
        <w:rPr>
          <w:rFonts w:ascii="Arial" w:cs="Arial" w:eastAsia="Arial" w:hAnsi="Arial"/>
          <w:sz w:val="21"/>
          <w:szCs w:val="21"/>
        </w:rPr>
        <w:t xml:space="preserve">A dedicated backend for MDA processing officers with case management dashboards, UGPass-integrated document verification, workflow configuration, and performance analytics.</w:t>
      </w:r>
    </w:p>
    <w:p>
      <w:pPr>
        <w:pStyle w:val="Heading1"/>
        <w:spacing w:after="200" w:before="300"/>
      </w:pPr>
      <w:r>
        <w:rPr>
          <w:rFonts w:ascii="Arial" w:cs="Arial" w:eastAsia="Arial" w:hAnsi="Arial"/>
          <w:b/>
          <w:bCs/>
          <w:sz w:val="32"/>
          <w:szCs w:val="32"/>
        </w:rPr>
        <w:t xml:space="preserve">4. International Comparative Analysis (Global Best Practices)</w:t>
      </w:r>
    </w:p>
    <w:p>
      <w:pPr>
        <w:pStyle w:val="Heading2"/>
        <w:spacing w:after="160" w:before="240"/>
      </w:pPr>
      <w:r>
        <w:rPr>
          <w:rFonts w:ascii="Arial" w:cs="Arial" w:eastAsia="Arial" w:hAnsi="Arial"/>
          <w:b/>
          <w:bCs/>
          <w:sz w:val="26"/>
          <w:szCs w:val="26"/>
        </w:rPr>
        <w:t xml:space="preserve">4.1 Estonia: e-Estonia and X-Road</w:t>
      </w:r>
    </w:p>
    <w:p>
      <w:pPr>
        <w:spacing w:after="120" w:line="276"/>
        <w:jc w:val="both"/>
      </w:pPr>
      <w:r>
        <w:rPr>
          <w:rFonts w:ascii="Arial" w:cs="Arial" w:eastAsia="Arial" w:hAnsi="Arial"/>
          <w:sz w:val="21"/>
          <w:szCs w:val="21"/>
        </w:rPr>
        <w:t xml:space="preserve">Estonia has 3,000+ services online (100% digitalisation). X-Road is a decentralised, open-source data exchange layer connecting hundreds of public and private databases. Key principles: data remains with its custodian; once-only principle; KSI Blockchain audit; federated governance via NIIS. Lessons for Uganda: UGHub already follows decentralised data governance; open-source reduces costs; NITA-U should adopt a standard-setting (not central control) role.</w:t>
      </w:r>
    </w:p>
    <w:p>
      <w:pPr>
        <w:pStyle w:val="Heading2"/>
        <w:spacing w:after="160" w:before="240"/>
      </w:pPr>
      <w:r>
        <w:rPr>
          <w:rFonts w:ascii="Arial" w:cs="Arial" w:eastAsia="Arial" w:hAnsi="Arial"/>
          <w:b/>
          <w:bCs/>
          <w:sz w:val="26"/>
          <w:szCs w:val="26"/>
        </w:rPr>
        <w:t xml:space="preserve">4.2 Rwanda: The Irembo Platform</w:t>
      </w:r>
    </w:p>
    <w:p>
      <w:pPr>
        <w:spacing w:after="120" w:line="276"/>
        <w:jc w:val="both"/>
      </w:pPr>
      <w:r>
        <w:rPr>
          <w:rFonts w:ascii="Arial" w:cs="Arial" w:eastAsia="Arial" w:hAnsi="Arial"/>
          <w:sz w:val="21"/>
          <w:szCs w:val="21"/>
        </w:rPr>
        <w:t xml:space="preserve">IremboGov hosts 248 services from 40 institutions, serving 8M+ users, saving 120M+ hours. Features: IremboGov 2.0 with unified accounts, digital vault, three-step service flows, and agent network. Lessons for Uganda: sustainable commission model; radical service redesign; agent network for inclusion; data re-use vault.</w:t>
      </w:r>
    </w:p>
    <w:p>
      <w:pPr>
        <w:pStyle w:val="Heading2"/>
        <w:spacing w:after="160" w:before="240"/>
      </w:pPr>
      <w:r>
        <w:rPr>
          <w:rFonts w:ascii="Arial" w:cs="Arial" w:eastAsia="Arial" w:hAnsi="Arial"/>
          <w:b/>
          <w:bCs/>
          <w:sz w:val="26"/>
          <w:szCs w:val="26"/>
        </w:rPr>
        <w:t xml:space="preserve">4.3 Kenya: eCitizen and Huduma Kenya</w:t>
      </w:r>
    </w:p>
    <w:p>
      <w:pPr>
        <w:spacing w:after="120" w:line="276"/>
        <w:jc w:val="both"/>
      </w:pPr>
      <w:r>
        <w:rPr>
          <w:rFonts w:ascii="Arial" w:cs="Arial" w:eastAsia="Arial" w:hAnsi="Arial"/>
          <w:sz w:val="21"/>
          <w:szCs w:val="21"/>
        </w:rPr>
        <w:t xml:space="preserve">eCitizen hosts 22,000+ services, daily revenue rose from KSh 60M to KSh 600M+. Complemented by 58 Huduma Centres. Governed by Directorate of eCitizen + Treasury GDP Unit. Lessons for Uganda: presidential mandate drives adoption; physical-digital hybrid; county-level integration; separate services from payments.</w:t>
      </w:r>
    </w:p>
    <w:p>
      <w:pPr>
        <w:pStyle w:val="Heading2"/>
        <w:spacing w:after="160" w:before="240"/>
      </w:pPr>
      <w:r>
        <w:rPr>
          <w:rFonts w:ascii="Arial" w:cs="Arial" w:eastAsia="Arial" w:hAnsi="Arial"/>
          <w:b/>
          <w:bCs/>
          <w:sz w:val="26"/>
          <w:szCs w:val="26"/>
        </w:rPr>
        <w:t xml:space="preserve">4.4 Comparative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860"/>
        <w:gridCol w:w="1900"/>
      </w:tblGrid>
      <w:tr>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Dimension</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Estonia</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Rwanda</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Kenya</w:t>
            </w:r>
          </w:p>
        </w:tc>
        <w:tc>
          <w:tcPr>
            <w:tcW w:type="dxa" w:w="1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Uganda (Current)</w:t>
            </w:r>
          </w:p>
        </w:tc>
        <w:tc>
          <w:tcPr>
            <w:tcW w:type="dxa" w:w="1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Uganda (Proposed)</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9"/>
                <w:szCs w:val="19"/>
              </w:rPr>
              <w:t xml:space="preserve">Identity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9"/>
                <w:szCs w:val="19"/>
              </w:rPr>
              <w:t xml:space="preserve">Mandatory eID (99%)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9"/>
                <w:szCs w:val="19"/>
              </w:rPr>
              <w:t xml:space="preserve">National 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9"/>
                <w:szCs w:val="19"/>
              </w:rPr>
              <w:t xml:space="preserve">Integrated ID</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9"/>
                <w:szCs w:val="19"/>
              </w:rPr>
              <w:t xml:space="preserve">Ndaga Muntu (MOSIP)</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9"/>
                <w:szCs w:val="19"/>
              </w:rPr>
              <w:t xml:space="preserve">UGPass + NIRA SSO</w:t>
            </w:r>
          </w:p>
        </w:tc>
      </w:tr>
      <w:tr>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b/>
                <w:bCs/>
                <w:sz w:val="19"/>
                <w:szCs w:val="19"/>
              </w:rPr>
              <w:t xml:space="preserve">Data Exchange</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9"/>
                <w:szCs w:val="19"/>
              </w:rPr>
              <w:t xml:space="preserve">X-Road (open source)</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9"/>
                <w:szCs w:val="19"/>
              </w:rPr>
              <w:t xml:space="preserve">Gov Service Bus</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9"/>
                <w:szCs w:val="19"/>
              </w:rPr>
              <w:t xml:space="preserve">Custom</w:t>
            </w:r>
          </w:p>
        </w:tc>
        <w:tc>
          <w:tcPr>
            <w:tcW w:type="dxa" w:w="186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9"/>
                <w:szCs w:val="19"/>
              </w:rPr>
              <w:t xml:space="preserve">UGHub (37%)</w:t>
            </w:r>
          </w:p>
        </w:tc>
        <w:tc>
          <w:tcPr>
            <w:tcW w:type="dxa" w:w="1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9"/>
                <w:szCs w:val="19"/>
              </w:rPr>
              <w:t xml:space="preserve">UGHub (73%+)</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9"/>
                <w:szCs w:val="19"/>
              </w:rPr>
              <w:t xml:space="preserve">Payments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9"/>
                <w:szCs w:val="19"/>
              </w:rPr>
              <w:t xml:space="preserve">Unified bank-linked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9"/>
                <w:szCs w:val="19"/>
              </w:rPr>
              <w:t xml:space="preserve">IremboPay (commission)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9"/>
                <w:szCs w:val="19"/>
              </w:rPr>
              <w:t xml:space="preserve">GDP Unit (Treasury)</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9"/>
                <w:szCs w:val="19"/>
              </w:rPr>
              <w:t xml:space="preserve">Fragmented</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9"/>
                <w:szCs w:val="19"/>
              </w:rPr>
              <w:t xml:space="preserve">UGPay (omnichannel)</w:t>
            </w:r>
          </w:p>
        </w:tc>
      </w:tr>
      <w:tr>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b/>
                <w:bCs/>
                <w:sz w:val="19"/>
                <w:szCs w:val="19"/>
              </w:rPr>
              <w:t xml:space="preserve">Offline</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9"/>
                <w:szCs w:val="19"/>
              </w:rPr>
              <w:t xml:space="preserve">High literacy</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9"/>
                <w:szCs w:val="19"/>
              </w:rPr>
              <w:t xml:space="preserve">Agent + USSD</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9"/>
                <w:szCs w:val="19"/>
              </w:rPr>
              <w:t xml:space="preserve">Huduma + USSD</w:t>
            </w:r>
          </w:p>
        </w:tc>
        <w:tc>
          <w:tcPr>
            <w:tcW w:type="dxa" w:w="186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9"/>
                <w:szCs w:val="19"/>
              </w:rPr>
              <w:t xml:space="preserve">Minimal</w:t>
            </w:r>
          </w:p>
        </w:tc>
        <w:tc>
          <w:tcPr>
            <w:tcW w:type="dxa" w:w="1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9"/>
                <w:szCs w:val="19"/>
              </w:rPr>
              <w:t xml:space="preserve">USSD + centres + agents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9"/>
                <w:szCs w:val="19"/>
              </w:rPr>
              <w:t xml:space="preserve">Adoption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9"/>
                <w:szCs w:val="19"/>
              </w:rPr>
              <w:t xml:space="preserve">&gt;99%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9"/>
                <w:szCs w:val="19"/>
              </w:rPr>
              <w:t xml:space="preserve">8M+ users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9"/>
                <w:szCs w:val="19"/>
              </w:rPr>
              <w:t xml:space="preserve">KSh 600M/day</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9"/>
                <w:szCs w:val="19"/>
              </w:rPr>
              <w:t xml:space="preserve">9.2% active</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9"/>
                <w:szCs w:val="19"/>
              </w:rPr>
              <w:t xml:space="preserve">Target: 40%</w:t>
            </w:r>
          </w:p>
        </w:tc>
      </w:tr>
    </w:tbl>
    <w:p>
      <w:pPr>
        <w:pStyle w:val="Heading1"/>
        <w:spacing w:after="200" w:before="300"/>
      </w:pPr>
      <w:r>
        <w:rPr>
          <w:rFonts w:ascii="Arial" w:cs="Arial" w:eastAsia="Arial" w:hAnsi="Arial"/>
          <w:b/>
          <w:bCs/>
          <w:sz w:val="32"/>
          <w:szCs w:val="32"/>
        </w:rPr>
        <w:t xml:space="preserve">5. Implementation Roadmap &amp; Governance Framework</w:t>
      </w:r>
    </w:p>
    <w:p>
      <w:pPr>
        <w:spacing w:after="120" w:line="276"/>
        <w:jc w:val="both"/>
      </w:pPr>
      <w:r>
        <w:rPr>
          <w:rFonts w:ascii="Arial" w:cs="Arial" w:eastAsia="Arial" w:hAnsi="Arial"/>
          <w:sz w:val="21"/>
          <w:szCs w:val="21"/>
        </w:rPr>
        <w:t xml:space="preserve">The UGSP will be delivered in three phases over 48 months, aligned with NITA-U’s Strategic Plan.</w:t>
      </w:r>
    </w:p>
    <w:p>
      <w:pPr>
        <w:pStyle w:val="Heading2"/>
        <w:spacing w:after="160" w:before="240"/>
      </w:pPr>
      <w:r>
        <w:rPr>
          <w:rFonts w:ascii="Arial" w:cs="Arial" w:eastAsia="Arial" w:hAnsi="Arial"/>
          <w:b/>
          <w:bCs/>
          <w:sz w:val="26"/>
          <w:szCs w:val="26"/>
        </w:rPr>
        <w:t xml:space="preserve">Phase 1: Foundation (Months 1–12)</w:t>
      </w:r>
    </w:p>
    <w:p>
      <w:pPr>
        <w:spacing w:after="120" w:line="276"/>
        <w:jc w:val="both"/>
      </w:pPr>
      <w:r>
        <w:rPr>
          <w:rFonts w:ascii="Arial" w:cs="Arial" w:eastAsia="Arial" w:hAnsi="Arial"/>
          <w:sz w:val="21"/>
          <w:szCs w:val="21"/>
        </w:rPr>
        <w:t xml:space="preserve">Deliver: portal frontend with UGPass SSO, citizen profile management, UGPay Gateway MVP, Service Catalogue. Priority MDA integrations: Passports, Driving Licences, Business Registration, NIRA, URA. Onboard 20 MDAs to UGHub, upgrade Data Centre, pilot 10 Service Uganda Centres. Secure Cabinet Memorandum and data-sharing MOUs.</w:t>
      </w:r>
    </w:p>
    <w:p>
      <w:pPr>
        <w:spacing w:after="120" w:line="276"/>
        <w:jc w:val="both"/>
      </w:pPr>
      <w:r>
        <w:rPr>
          <w:rFonts w:ascii="Arial" w:cs="Arial" w:eastAsia="Arial" w:hAnsi="Arial"/>
          <w:sz w:val="21"/>
          <w:szCs w:val="21"/>
        </w:rPr>
        <w:t xml:space="preserve">Success Metrics: 50+ services, 500K+ users, 2M+ transactions.</w:t>
      </w:r>
    </w:p>
    <w:p>
      <w:pPr>
        <w:pStyle w:val="Heading2"/>
        <w:spacing w:after="160" w:before="240"/>
      </w:pPr>
      <w:r>
        <w:rPr>
          <w:rFonts w:ascii="Arial" w:cs="Arial" w:eastAsia="Arial" w:hAnsi="Arial"/>
          <w:b/>
          <w:bCs/>
          <w:sz w:val="26"/>
          <w:szCs w:val="26"/>
        </w:rPr>
        <w:t xml:space="preserve">Phase 2: Full MDA Rollout (Months 13–30)</w:t>
      </w:r>
    </w:p>
    <w:p>
      <w:pPr>
        <w:spacing w:after="120" w:line="276"/>
        <w:jc w:val="both"/>
      </w:pPr>
      <w:r>
        <w:rPr>
          <w:rFonts w:ascii="Arial" w:cs="Arial" w:eastAsia="Arial" w:hAnsi="Arial"/>
          <w:sz w:val="21"/>
          <w:szCs w:val="21"/>
        </w:rPr>
        <w:t xml:space="preserve">Onboarding: Health, Lands, Education, Justice, NEMA, all Local Governments. Channel expansion: USSD (*UGSP#), mobile app, AI chatbot (English + major Ugandan languages), 50 Service Uganda Centres. Full UGPay rollout. Digital literacy campaign.</w:t>
      </w:r>
    </w:p>
    <w:p>
      <w:pPr>
        <w:spacing w:after="120" w:line="276"/>
        <w:jc w:val="both"/>
      </w:pPr>
      <w:r>
        <w:rPr>
          <w:rFonts w:ascii="Arial" w:cs="Arial" w:eastAsia="Arial" w:hAnsi="Arial"/>
          <w:sz w:val="21"/>
          <w:szCs w:val="21"/>
        </w:rPr>
        <w:t xml:space="preserve">Success Metrics: 300+ services, 3M+ users, 60% MDA UGHub coverage, USSD: 30% of transactions.</w:t>
      </w:r>
    </w:p>
    <w:p>
      <w:pPr>
        <w:pStyle w:val="Heading2"/>
        <w:spacing w:after="160" w:before="240"/>
      </w:pPr>
      <w:r>
        <w:rPr>
          <w:rFonts w:ascii="Arial" w:cs="Arial" w:eastAsia="Arial" w:hAnsi="Arial"/>
          <w:b/>
          <w:bCs/>
          <w:sz w:val="26"/>
          <w:szCs w:val="26"/>
        </w:rPr>
        <w:t xml:space="preserve">Phase 3: AI Integration (Months 31–48)</w:t>
      </w:r>
    </w:p>
    <w:p>
      <w:pPr>
        <w:spacing w:after="120" w:line="276"/>
        <w:jc w:val="both"/>
      </w:pPr>
      <w:r>
        <w:rPr>
          <w:rFonts w:ascii="Arial" w:cs="Arial" w:eastAsia="Arial" w:hAnsi="Arial"/>
          <w:sz w:val="21"/>
          <w:szCs w:val="21"/>
        </w:rPr>
        <w:t xml:space="preserve">AI features: predictive service recommendations, intelligent application assistant, localised NLP chatbot with voice, fraud detection. Cross-MDA automated workflows. Once-only principle enforcement. Government-wide analytics dashboard.</w:t>
      </w:r>
    </w:p>
    <w:p>
      <w:pPr>
        <w:spacing w:after="120" w:line="276"/>
        <w:jc w:val="both"/>
      </w:pPr>
      <w:r>
        <w:rPr>
          <w:rFonts w:ascii="Arial" w:cs="Arial" w:eastAsia="Arial" w:hAnsi="Arial"/>
          <w:sz w:val="21"/>
          <w:szCs w:val="21"/>
        </w:rPr>
        <w:t xml:space="preserve">Success Metrics: 500+ services, 40% active usage, 73%+ MDA UGHub coverage, satisfaction &gt;4.0/5.</w:t>
      </w:r>
    </w:p>
    <w:p>
      <w:pPr>
        <w:pStyle w:val="Heading2"/>
        <w:spacing w:after="160" w:before="240"/>
      </w:pPr>
      <w:r>
        <w:rPr>
          <w:rFonts w:ascii="Arial" w:cs="Arial" w:eastAsia="Arial" w:hAnsi="Arial"/>
          <w:b/>
          <w:bCs/>
          <w:sz w:val="26"/>
          <w:szCs w:val="26"/>
        </w:rPr>
        <w:t xml:space="preserve">5.1 Governance Framework</w:t>
      </w:r>
    </w:p>
    <w:p>
      <w:pPr>
        <w:spacing w:after="120" w:line="276"/>
        <w:jc w:val="both"/>
      </w:pPr>
      <w:r>
        <w:rPr>
          <w:rFonts w:ascii="Arial" w:cs="Arial" w:eastAsia="Arial" w:hAnsi="Arial"/>
          <w:sz w:val="21"/>
          <w:szCs w:val="21"/>
        </w:rPr>
        <w:t xml:space="preserve">Multi-layered structure:</w:t>
      </w:r>
    </w:p>
    <w:p>
      <w:pPr>
        <w:pStyle w:val="ListParagraph"/>
        <w:numPr>
          <w:ilvl w:val="0"/>
          <w:numId w:val="2"/>
        </w:numPr>
        <w:spacing w:after="60" w:line="276"/>
      </w:pPr>
      <w:r>
        <w:rPr>
          <w:rFonts w:ascii="Arial" w:cs="Arial" w:eastAsia="Arial" w:hAnsi="Arial"/>
          <w:sz w:val="21"/>
          <w:szCs w:val="21"/>
        </w:rPr>
        <w:t xml:space="preserve">Cabinet Sub-Committee on Digital Transformation — Strategic direction, policy arbitration (Quarterly)</w:t>
      </w:r>
    </w:p>
    <w:p>
      <w:pPr>
        <w:pStyle w:val="ListParagraph"/>
        <w:numPr>
          <w:ilvl w:val="0"/>
          <w:numId w:val="2"/>
        </w:numPr>
        <w:spacing w:after="60" w:line="276"/>
      </w:pPr>
      <w:r>
        <w:rPr>
          <w:rFonts w:ascii="Arial" w:cs="Arial" w:eastAsia="Arial" w:hAnsi="Arial"/>
          <w:sz w:val="21"/>
          <w:szCs w:val="21"/>
        </w:rPr>
        <w:t xml:space="preserve">UGSP Steering Committee (PS MoICT&amp;NG) — Oversight, budget, dispute resolution (Monthly)</w:t>
      </w:r>
    </w:p>
    <w:p>
      <w:pPr>
        <w:pStyle w:val="ListParagraph"/>
        <w:numPr>
          <w:ilvl w:val="0"/>
          <w:numId w:val="2"/>
        </w:numPr>
        <w:spacing w:after="60" w:line="276"/>
      </w:pPr>
      <w:r>
        <w:rPr>
          <w:rFonts w:ascii="Arial" w:cs="Arial" w:eastAsia="Arial" w:hAnsi="Arial"/>
          <w:sz w:val="21"/>
          <w:szCs w:val="21"/>
        </w:rPr>
        <w:t xml:space="preserve">Technical Working Group (ED NITA-U) — Architecture, standards, API governance (Bi-weekly)</w:t>
      </w:r>
    </w:p>
    <w:p>
      <w:pPr>
        <w:pStyle w:val="ListParagraph"/>
        <w:numPr>
          <w:ilvl w:val="0"/>
          <w:numId w:val="2"/>
        </w:numPr>
        <w:spacing w:after="60" w:line="276"/>
      </w:pPr>
      <w:r>
        <w:rPr>
          <w:rFonts w:ascii="Arial" w:cs="Arial" w:eastAsia="Arial" w:hAnsi="Arial"/>
          <w:sz w:val="21"/>
          <w:szCs w:val="21"/>
        </w:rPr>
        <w:t xml:space="preserve">UGSP Programme Office (NITA-U) — Day-to-day management, MDA onboarding (Continuous)</w:t>
      </w:r>
    </w:p>
    <w:p>
      <w:pPr>
        <w:spacing w:after="120" w:line="276"/>
        <w:jc w:val="both"/>
      </w:pPr>
      <w:r>
        <w:rPr>
          <w:rFonts w:ascii="Arial" w:cs="Arial" w:eastAsia="Arial" w:hAnsi="Arial"/>
          <w:sz w:val="21"/>
          <w:szCs w:val="21"/>
        </w:rPr>
        <w:t xml:space="preserve">Governance Principles: Data Sovereignty (MDA data ownership), Open Standards (e-GIF compliance), Service-Level Accountability (published MDA SLAs), Privacy by Design (minimisation, consent, audit), Public-Private Collaboration (sustainable commercial model).</w:t>
      </w:r>
    </w:p>
    <w:p>
      <w:pPr>
        <w:pStyle w:val="Heading1"/>
        <w:spacing w:after="200" w:before="300"/>
      </w:pPr>
      <w:r>
        <w:rPr>
          <w:rFonts w:ascii="Arial" w:cs="Arial" w:eastAsia="Arial" w:hAnsi="Arial"/>
          <w:b/>
          <w:bCs/>
          <w:sz w:val="32"/>
          <w:szCs w:val="32"/>
        </w:rPr>
        <w:t xml:space="preserve">6. Challenges, Risks, and Mitigation Strategies</w:t>
      </w:r>
    </w:p>
    <w:p>
      <w:pPr>
        <w:pStyle w:val="Heading2"/>
        <w:spacing w:after="160" w:before="240"/>
      </w:pPr>
      <w:r>
        <w:rPr>
          <w:rFonts w:ascii="Arial" w:cs="Arial" w:eastAsia="Arial" w:hAnsi="Arial"/>
          <w:b/>
          <w:bCs/>
          <w:sz w:val="26"/>
          <w:szCs w:val="26"/>
        </w:rPr>
        <w:t xml:space="preserve">6.1 The Digital Divide</w:t>
      </w:r>
    </w:p>
    <w:p>
      <w:pPr>
        <w:spacing w:after="120" w:line="276"/>
        <w:jc w:val="both"/>
      </w:pPr>
      <w:r>
        <w:rPr>
          <w:rFonts w:ascii="Arial" w:cs="Arial" w:eastAsia="Arial" w:hAnsi="Arial"/>
          <w:sz w:val="21"/>
          <w:szCs w:val="21"/>
        </w:rPr>
        <w:t xml:space="preserve">Internet penetration: ~22%. ~78% offline. Cost: ~$1.32/GB. Smartphones: 39.7% of phones.</w:t>
      </w:r>
    </w:p>
    <w:p>
      <w:pPr>
        <w:pStyle w:val="ListParagraph"/>
        <w:numPr>
          <w:ilvl w:val="0"/>
          <w:numId w:val="2"/>
        </w:numPr>
        <w:spacing w:after="60" w:line="276"/>
      </w:pPr>
      <w:r>
        <w:rPr>
          <w:rFonts w:ascii="Arial" w:cs="Arial" w:eastAsia="Arial" w:hAnsi="Arial"/>
          <w:sz w:val="21"/>
          <w:szCs w:val="21"/>
        </w:rPr>
        <w:t xml:space="preserve">USSD/SMS Gateway: Every service via *UGSP# on any phone.</w:t>
      </w:r>
    </w:p>
    <w:p>
      <w:pPr>
        <w:pStyle w:val="ListParagraph"/>
        <w:numPr>
          <w:ilvl w:val="0"/>
          <w:numId w:val="2"/>
        </w:numPr>
        <w:spacing w:after="60" w:line="276"/>
      </w:pPr>
      <w:r>
        <w:rPr>
          <w:rFonts w:ascii="Arial" w:cs="Arial" w:eastAsia="Arial" w:hAnsi="Arial"/>
          <w:sz w:val="21"/>
          <w:szCs w:val="21"/>
        </w:rPr>
        <w:t xml:space="preserve">Service Uganda Centres: Physical assisted-digital access points nationwide.</w:t>
      </w:r>
    </w:p>
    <w:p>
      <w:pPr>
        <w:pStyle w:val="ListParagraph"/>
        <w:numPr>
          <w:ilvl w:val="0"/>
          <w:numId w:val="2"/>
        </w:numPr>
        <w:spacing w:after="60" w:line="276"/>
      </w:pPr>
      <w:r>
        <w:rPr>
          <w:rFonts w:ascii="Arial" w:cs="Arial" w:eastAsia="Arial" w:hAnsi="Arial"/>
          <w:sz w:val="21"/>
          <w:szCs w:val="21"/>
        </w:rPr>
        <w:t xml:space="preserve">Agent Network: Leveraging 241,000+ mobile money agents for assisted applications.</w:t>
      </w:r>
    </w:p>
    <w:p>
      <w:pPr>
        <w:pStyle w:val="ListParagraph"/>
        <w:numPr>
          <w:ilvl w:val="0"/>
          <w:numId w:val="2"/>
        </w:numPr>
        <w:spacing w:after="60" w:line="276"/>
      </w:pPr>
      <w:r>
        <w:rPr>
          <w:rFonts w:ascii="Arial" w:cs="Arial" w:eastAsia="Arial" w:hAnsi="Arial"/>
          <w:sz w:val="21"/>
          <w:szCs w:val="21"/>
        </w:rPr>
        <w:t xml:space="preserve">Offline Digital Vault: Mobile app with document download for QR-based offline verification.</w:t>
      </w:r>
    </w:p>
    <w:p>
      <w:pPr>
        <w:pStyle w:val="ListParagraph"/>
        <w:numPr>
          <w:ilvl w:val="0"/>
          <w:numId w:val="2"/>
        </w:numPr>
        <w:spacing w:after="60" w:line="276"/>
      </w:pPr>
      <w:r>
        <w:rPr>
          <w:rFonts w:ascii="Arial" w:cs="Arial" w:eastAsia="Arial" w:hAnsi="Arial"/>
          <w:sz w:val="21"/>
          <w:szCs w:val="21"/>
        </w:rPr>
        <w:t xml:space="preserve">Local Languages: Luganda, Runyankole, Acholi, Ateso, Luo, Lugbara, Swahili.</w:t>
      </w:r>
    </w:p>
    <w:p>
      <w:pPr>
        <w:pStyle w:val="Heading2"/>
        <w:spacing w:after="160" w:before="240"/>
      </w:pPr>
      <w:r>
        <w:rPr>
          <w:rFonts w:ascii="Arial" w:cs="Arial" w:eastAsia="Arial" w:hAnsi="Arial"/>
          <w:b/>
          <w:bCs/>
          <w:sz w:val="26"/>
          <w:szCs w:val="26"/>
        </w:rPr>
        <w:t xml:space="preserve">6.2 Data Security &amp; Legal Compliance</w:t>
      </w:r>
    </w:p>
    <w:p>
      <w:pPr>
        <w:spacing w:after="120" w:line="276"/>
        <w:jc w:val="both"/>
      </w:pPr>
      <w:r>
        <w:rPr>
          <w:rFonts w:ascii="Arial" w:cs="Arial" w:eastAsia="Arial" w:hAnsi="Arial"/>
          <w:sz w:val="21"/>
          <w:szCs w:val="21"/>
        </w:rPr>
        <w:t xml:space="preserve">High-value target. DPPA 2019 enforced by PDPO (first criminal conviction July 2025; Google LLC decision asserting extraterritorial application). Breach notification required under Section 20.</w:t>
      </w:r>
    </w:p>
    <w:p>
      <w:pPr>
        <w:pStyle w:val="ListParagraph"/>
        <w:numPr>
          <w:ilvl w:val="0"/>
          <w:numId w:val="2"/>
        </w:numPr>
        <w:spacing w:after="60" w:line="276"/>
      </w:pPr>
      <w:r>
        <w:rPr>
          <w:rFonts w:ascii="Arial" w:cs="Arial" w:eastAsia="Arial" w:hAnsi="Arial"/>
          <w:sz w:val="21"/>
          <w:szCs w:val="21"/>
        </w:rPr>
        <w:t xml:space="preserve">TLS 1.3 / AES-256 encryption. UGPass PKI. National PKI with locally generated keys.</w:t>
      </w:r>
    </w:p>
    <w:p>
      <w:pPr>
        <w:pStyle w:val="ListParagraph"/>
        <w:numPr>
          <w:ilvl w:val="0"/>
          <w:numId w:val="2"/>
        </w:numPr>
        <w:spacing w:after="60" w:line="276"/>
      </w:pPr>
      <w:r>
        <w:rPr>
          <w:rFonts w:ascii="Arial" w:cs="Arial" w:eastAsia="Arial" w:hAnsi="Arial"/>
          <w:sz w:val="21"/>
          <w:szCs w:val="21"/>
        </w:rPr>
        <w:t xml:space="preserve">Full PDPO registration, DPIA before launch, privacy-by-design architecture.</w:t>
      </w:r>
    </w:p>
    <w:p>
      <w:pPr>
        <w:pStyle w:val="ListParagraph"/>
        <w:numPr>
          <w:ilvl w:val="0"/>
          <w:numId w:val="2"/>
        </w:numPr>
        <w:spacing w:after="60" w:line="276"/>
      </w:pPr>
      <w:r>
        <w:rPr>
          <w:rFonts w:ascii="Arial" w:cs="Arial" w:eastAsia="Arial" w:hAnsi="Arial"/>
          <w:sz w:val="21"/>
          <w:szCs w:val="21"/>
        </w:rPr>
        <w:t xml:space="preserve">Data minimisation principles. Breach notification procedures aligned with DPPA.</w:t>
      </w:r>
    </w:p>
    <w:p>
      <w:pPr>
        <w:pStyle w:val="ListParagraph"/>
        <w:numPr>
          <w:ilvl w:val="0"/>
          <w:numId w:val="2"/>
        </w:numPr>
        <w:spacing w:after="60" w:line="276"/>
      </w:pPr>
      <w:r>
        <w:rPr>
          <w:rFonts w:ascii="Arial" w:cs="Arial" w:eastAsia="Arial" w:hAnsi="Arial"/>
          <w:sz w:val="21"/>
          <w:szCs w:val="21"/>
        </w:rPr>
        <w:t xml:space="preserve">Dedicated DPO. Data-sharing MOUs specifying lawful basis. Citizen consent dashboard.</w:t>
      </w:r>
    </w:p>
    <w:p>
      <w:pPr>
        <w:pStyle w:val="Heading2"/>
        <w:spacing w:after="160" w:before="240"/>
      </w:pPr>
      <w:r>
        <w:rPr>
          <w:rFonts w:ascii="Arial" w:cs="Arial" w:eastAsia="Arial" w:hAnsi="Arial"/>
          <w:b/>
          <w:bCs/>
          <w:sz w:val="26"/>
          <w:szCs w:val="26"/>
        </w:rPr>
        <w:t xml:space="preserve">6.3 Institutional Resistance to Change</w:t>
      </w:r>
    </w:p>
    <w:p>
      <w:pPr>
        <w:spacing w:after="120" w:line="276"/>
        <w:jc w:val="both"/>
      </w:pPr>
      <w:r>
        <w:rPr>
          <w:rFonts w:ascii="Arial" w:cs="Arial" w:eastAsia="Arial" w:hAnsi="Arial"/>
          <w:sz w:val="21"/>
          <w:szCs w:val="21"/>
        </w:rPr>
        <w:t xml:space="preserve">MDAs may resist due to loss of direct citizen interface, perceived revenue loss, exposure of inefficiencies, or legacy technical debt.</w:t>
      </w:r>
    </w:p>
    <w:p>
      <w:pPr>
        <w:pStyle w:val="ListParagraph"/>
        <w:numPr>
          <w:ilvl w:val="0"/>
          <w:numId w:val="2"/>
        </w:numPr>
        <w:spacing w:after="60" w:line="276"/>
      </w:pPr>
      <w:r>
        <w:rPr>
          <w:rFonts w:ascii="Arial" w:cs="Arial" w:eastAsia="Arial" w:hAnsi="Arial"/>
          <w:sz w:val="21"/>
          <w:szCs w:val="21"/>
        </w:rPr>
        <w:t xml:space="preserve">Political Mandate: Cabinet/Presidential directive establishing UGSP as sole official channel.</w:t>
      </w:r>
    </w:p>
    <w:p>
      <w:pPr>
        <w:pStyle w:val="ListParagraph"/>
        <w:numPr>
          <w:ilvl w:val="0"/>
          <w:numId w:val="2"/>
        </w:numPr>
        <w:spacing w:after="60" w:line="276"/>
      </w:pPr>
      <w:r>
        <w:rPr>
          <w:rFonts w:ascii="Arial" w:cs="Arial" w:eastAsia="Arial" w:hAnsi="Arial"/>
          <w:sz w:val="21"/>
          <w:szCs w:val="21"/>
        </w:rPr>
        <w:t xml:space="preserve">Incentive Alignment: Real-time revenue reporting; reduced manual work; e-Government Excellence Awards.</w:t>
      </w:r>
    </w:p>
    <w:p>
      <w:pPr>
        <w:pStyle w:val="ListParagraph"/>
        <w:numPr>
          <w:ilvl w:val="0"/>
          <w:numId w:val="2"/>
        </w:numPr>
        <w:spacing w:after="60" w:line="276"/>
      </w:pPr>
      <w:r>
        <w:rPr>
          <w:rFonts w:ascii="Arial" w:cs="Arial" w:eastAsia="Arial" w:hAnsi="Arial"/>
          <w:sz w:val="21"/>
          <w:szCs w:val="21"/>
        </w:rPr>
        <w:t xml:space="preserve">Phased Mandate: Phase 1 opt-in, Phase 2 mandatory, Phase 3 enforced via budgetary incentives.</w:t>
      </w:r>
    </w:p>
    <w:p>
      <w:pPr>
        <w:pStyle w:val="ListParagraph"/>
        <w:numPr>
          <w:ilvl w:val="0"/>
          <w:numId w:val="2"/>
        </w:numPr>
        <w:spacing w:after="60" w:line="276"/>
      </w:pPr>
      <w:r>
        <w:rPr>
          <w:rFonts w:ascii="Arial" w:cs="Arial" w:eastAsia="Arial" w:hAnsi="Arial"/>
          <w:sz w:val="21"/>
          <w:szCs w:val="21"/>
        </w:rPr>
        <w:t xml:space="preserve">Dedicated NITA-U integration support teams for custom adapter development.</w:t>
      </w:r>
    </w:p>
    <w:p>
      <w:pPr>
        <w:pStyle w:val="ListParagraph"/>
        <w:numPr>
          <w:ilvl w:val="0"/>
          <w:numId w:val="2"/>
        </w:numPr>
        <w:spacing w:after="60" w:line="276"/>
      </w:pPr>
      <w:r>
        <w:rPr>
          <w:rFonts w:ascii="Arial" w:cs="Arial" w:eastAsia="Arial" w:hAnsi="Arial"/>
          <w:sz w:val="21"/>
          <w:szCs w:val="21"/>
        </w:rPr>
        <w:t xml:space="preserve">Change Management: MDA digital champions, town halls, progress dashboards.</w:t>
      </w:r>
    </w:p>
    <w:p>
      <w:pPr>
        <w:pStyle w:val="Heading2"/>
        <w:spacing w:after="160" w:before="240"/>
      </w:pPr>
      <w:r>
        <w:rPr>
          <w:rFonts w:ascii="Arial" w:cs="Arial" w:eastAsia="Arial" w:hAnsi="Arial"/>
          <w:b/>
          <w:bCs/>
          <w:sz w:val="26"/>
          <w:szCs w:val="26"/>
        </w:rPr>
        <w:t xml:space="preserve">6.4 Financial Sustainability</w:t>
      </w:r>
    </w:p>
    <w:p>
      <w:pPr>
        <w:spacing w:after="120" w:line="276"/>
        <w:jc w:val="both"/>
      </w:pPr>
      <w:r>
        <w:rPr>
          <w:rFonts w:ascii="Arial" w:cs="Arial" w:eastAsia="Arial" w:hAnsi="Arial"/>
          <w:sz w:val="21"/>
          <w:szCs w:val="21"/>
        </w:rPr>
        <w:t xml:space="preserve">Hybrid funding: (1) Capital via UDAP/World Bank and GoU budget; (2) Operational via UGPay transaction fee (1–3%), value-added analytics, API access for private sector; (3) Cost savings from reduced manual processing and physical infrastructure.</w:t>
      </w:r>
    </w:p>
    <w:p>
      <w:pPr>
        <w:pStyle w:val="Heading1"/>
        <w:spacing w:after="200" w:before="300"/>
      </w:pPr>
      <w:r>
        <w:rPr>
          <w:rFonts w:ascii="Arial" w:cs="Arial" w:eastAsia="Arial" w:hAnsi="Arial"/>
          <w:b/>
          <w:bCs/>
          <w:sz w:val="32"/>
          <w:szCs w:val="32"/>
        </w:rPr>
        <w:t xml:space="preserve">7. Conclusion &amp; Call to Action</w:t>
      </w:r>
    </w:p>
    <w:p>
      <w:pPr>
        <w:spacing w:after="120" w:line="276"/>
        <w:jc w:val="both"/>
      </w:pPr>
      <w:r>
        <w:rPr>
          <w:rFonts w:ascii="Arial" w:cs="Arial" w:eastAsia="Arial" w:hAnsi="Arial"/>
          <w:sz w:val="21"/>
          <w:szCs w:val="21"/>
        </w:rPr>
        <w:t xml:space="preserve">The Unified Government Service Portal is a national transformation initiative that will fundamentally reshape how Ugandans interact with their government. Building on UGHub, UGPass, NBI, and pioneering MDA systems (NIRA MOSIP, URA e-Tax, URSB OBRS), the UGSP represents the next logical step in Uganda’s digital evolution.</w:t>
      </w:r>
    </w:p>
    <w:p>
      <w:pPr>
        <w:spacing w:after="120" w:line="276"/>
        <w:jc w:val="both"/>
      </w:pPr>
      <w:r>
        <w:rPr>
          <w:rFonts w:ascii="Arial" w:cs="Arial" w:eastAsia="Arial" w:hAnsi="Arial"/>
          <w:sz w:val="21"/>
          <w:szCs w:val="21"/>
        </w:rPr>
        <w:t xml:space="preserve">Uganda’s current e-government adoption rate of 9.2 percent means the potential for growth is enormous. The NITA-U target of 40 percent by FY2029/30 is achievable with decisive action, wise investment, and inclusive design.</w:t>
      </w:r>
    </w:p>
    <w:p>
      <w:pPr>
        <w:spacing w:after="120" w:line="276"/>
        <w:jc w:val="both"/>
      </w:pPr>
      <w:r>
        <w:rPr>
          <w:rFonts w:ascii="Arial" w:cs="Arial" w:eastAsia="Arial" w:hAnsi="Arial"/>
          <w:sz w:val="21"/>
          <w:szCs w:val="21"/>
        </w:rPr>
        <w:t xml:space="preserve">Recommendations:</w:t>
      </w:r>
    </w:p>
    <w:p>
      <w:pPr>
        <w:pStyle w:val="ListParagraph"/>
        <w:numPr>
          <w:ilvl w:val="0"/>
          <w:numId w:val="3"/>
        </w:numPr>
        <w:spacing w:after="60" w:line="276"/>
      </w:pPr>
      <w:r>
        <w:rPr>
          <w:rFonts w:ascii="Arial" w:cs="Arial" w:eastAsia="Arial" w:hAnsi="Arial"/>
          <w:sz w:val="21"/>
          <w:szCs w:val="21"/>
        </w:rPr>
        <w:t xml:space="preserve">Endorse the UGSP as the single government-to-citizen digital channel through Cabinet Memorandum or Presidential Directive.</w:t>
      </w:r>
    </w:p>
    <w:p>
      <w:pPr>
        <w:pStyle w:val="ListParagraph"/>
        <w:numPr>
          <w:ilvl w:val="0"/>
          <w:numId w:val="3"/>
        </w:numPr>
        <w:spacing w:after="60" w:line="276"/>
      </w:pPr>
      <w:r>
        <w:rPr>
          <w:rFonts w:ascii="Arial" w:cs="Arial" w:eastAsia="Arial" w:hAnsi="Arial"/>
          <w:sz w:val="21"/>
          <w:szCs w:val="21"/>
        </w:rPr>
        <w:t xml:space="preserve">Approve Phase 1 funding and initiate procurement for core platform and priority MDA integrations.</w:t>
      </w:r>
    </w:p>
    <w:p>
      <w:pPr>
        <w:pStyle w:val="ListParagraph"/>
        <w:numPr>
          <w:ilvl w:val="0"/>
          <w:numId w:val="3"/>
        </w:numPr>
        <w:spacing w:after="60" w:line="276"/>
      </w:pPr>
      <w:r>
        <w:rPr>
          <w:rFonts w:ascii="Arial" w:cs="Arial" w:eastAsia="Arial" w:hAnsi="Arial"/>
          <w:sz w:val="21"/>
          <w:szCs w:val="21"/>
        </w:rPr>
        <w:t xml:space="preserve">Establish the UGSP Steering Committee and Programme Office within 60 days.</w:t>
      </w:r>
    </w:p>
    <w:p>
      <w:pPr>
        <w:pStyle w:val="ListParagraph"/>
        <w:numPr>
          <w:ilvl w:val="0"/>
          <w:numId w:val="3"/>
        </w:numPr>
        <w:spacing w:after="60" w:line="276"/>
      </w:pPr>
      <w:r>
        <w:rPr>
          <w:rFonts w:ascii="Arial" w:cs="Arial" w:eastAsia="Arial" w:hAnsi="Arial"/>
          <w:sz w:val="21"/>
          <w:szCs w:val="21"/>
        </w:rPr>
        <w:t xml:space="preserve">Initiate data-sharing MOUs with priority MDAs (Internal Affairs, Works, URSB, NIRA, URA).</w:t>
      </w:r>
    </w:p>
    <w:p>
      <w:pPr>
        <w:pStyle w:val="ListParagraph"/>
        <w:numPr>
          <w:ilvl w:val="0"/>
          <w:numId w:val="3"/>
        </w:numPr>
        <w:spacing w:after="60" w:line="276"/>
      </w:pPr>
      <w:r>
        <w:rPr>
          <w:rFonts w:ascii="Arial" w:cs="Arial" w:eastAsia="Arial" w:hAnsi="Arial"/>
          <w:sz w:val="21"/>
          <w:szCs w:val="21"/>
        </w:rPr>
        <w:t xml:space="preserve">Launch a national digital awareness campaign to build citizen trust from Day 1.</w:t>
      </w:r>
    </w:p>
    <w:p>
      <w:pPr>
        <w:spacing w:before="200"/>
      </w:pPr>
    </w:p>
    <w:p>
      <w:pPr>
        <w:spacing w:after="120" w:line="276"/>
        <w:jc w:val="both"/>
      </w:pPr>
      <w:r>
        <w:rPr>
          <w:rFonts w:ascii="Arial" w:cs="Arial" w:eastAsia="Arial" w:hAnsi="Arial"/>
          <w:sz w:val="21"/>
          <w:szCs w:val="21"/>
        </w:rPr>
        <w:t xml:space="preserve">The Unified Government Service Portal is Uganda’s opportunity to turn the promise of Vision 2040 into a tangible, daily reality for every citizen — from the Kampala entrepreneur registering a business on her smartphone to the farmer in rural Zombo checking his land title via SMS. A digitally transformed government is not a luxury. It is a necessity for a modern, prosperous Uganda.</w:t>
      </w:r>
    </w:p>
    <w:p>
      <w:pPr>
        <w:spacing w:before="300"/>
      </w:pPr>
    </w:p>
    <w:p>
      <w:pPr>
        <w:spacing w:before="200"/>
      </w:pPr>
    </w:p>
    <w:p>
      <w:pPr>
        <w:spacing w:after="120" w:line="276"/>
        <w:jc w:val="both"/>
      </w:pPr>
      <w:r>
        <w:rPr>
          <w:rFonts w:ascii="Arial" w:cs="Arial" w:eastAsia="Arial" w:hAnsi="Arial"/>
          <w:sz w:val="21"/>
          <w:szCs w:val="21"/>
        </w:rPr>
        <w:t xml:space="preserve">Document Prepared By: Senior Digital Transformation Consultant &amp; Enterprise Architect, GovTech Specialist, East African Digital Ecosystems</w:t>
      </w:r>
    </w:p>
    <w:p>
      <w:pPr>
        <w:spacing w:after="120" w:line="276"/>
        <w:jc w:val="both"/>
      </w:pPr>
      <w:r>
        <w:rPr>
          <w:rFonts w:ascii="Arial" w:cs="Arial" w:eastAsia="Arial" w:hAnsi="Arial"/>
          <w:sz w:val="21"/>
          <w:szCs w:val="21"/>
        </w:rPr>
        <w:t xml:space="preserve">Date: June 2026</w:t>
      </w:r>
    </w:p>
    <w:p>
      <w:pPr>
        <w:spacing w:after="120" w:line="276"/>
        <w:jc w:val="both"/>
      </w:pPr>
      <w:r>
        <w:rPr>
          <w:rFonts w:ascii="Arial" w:cs="Arial" w:eastAsia="Arial" w:hAnsi="Arial"/>
          <w:sz w:val="21"/>
          <w:szCs w:val="21"/>
        </w:rPr>
        <w:t xml:space="preserve">Reference Documents: NITA-U Strategic Plan FY2025/26–FY2029/30; Digital Uganda Vision 2040; Digital Transformation Roadmap 2023/24–2027/28; NDP IV; Data Protection and Privacy Act (2019); UDAP Project Documents.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UGSP Proposal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2026-06-23T10:11:55.477Z</dcterms:created>
  <dcterms:modified xsi:type="dcterms:W3CDTF">2026-06-23T10:11:55.477Z</dcterms:modified>
</cp:coreProperties>
</file>

<file path=docProps/custom.xml><?xml version="1.0" encoding="utf-8"?>
<Properties xmlns="http://schemas.openxmlformats.org/officeDocument/2006/custom-properties" xmlns:vt="http://schemas.openxmlformats.org/officeDocument/2006/docPropsVTypes"/>
</file>