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</w:pPr>
      <w:r>
        <w:rPr>
          <w:rFonts w:ascii="Aptos Display" w:hAnsi="Aptos Display"/>
          <w:b/>
          <w:color w:val="163A5F"/>
          <w:sz w:val="54"/>
        </w:rPr>
        <w:t>Commerce Platform FX Engine</w:t>
      </w:r>
    </w:p>
    <w:p>
      <w:r>
        <w:rPr>
          <w:rFonts w:ascii="Aptos Display" w:hAnsi="Aptos Display"/>
          <w:b/>
          <w:color w:val="2C5F8A"/>
          <w:sz w:val="34"/>
        </w:rPr>
        <w:t>Position Paper: Rate Programs, Risk, Distribution and Product Capability Model</w:t>
      </w:r>
    </w:p>
    <w:p/>
    <w:p>
      <w:r>
        <w:rPr>
          <w:rFonts w:ascii="Aptos" w:hAnsi="Aptos"/>
          <w:b/>
          <w:color w:val="667085"/>
          <w:sz w:val="20"/>
        </w:rPr>
        <w:t>Purpose</w:t>
      </w:r>
    </w:p>
    <w:p>
      <w:r>
        <w:rPr>
          <w:rFonts w:ascii="Aptos" w:hAnsi="Aptos"/>
          <w:sz w:val="22"/>
        </w:rPr>
        <w:t>Define a scalable target-state FX product construct for the Commerce Platform that preserves the legacy merchant experience where required, supports regional and premium rate-lock programs, normalizes multiple FX rate sources into a single JPMC merchant proposition, and establishes APIs as the strategic distribution model.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Position: Merchant EOD, FX rate windows, FX execution sources and rate distribution should be independent product constructs. The platform should publish a single JPMC merchant rate while explicitly managing the basis and timing risk created by Visa, Mastercard and JPM FX source rates.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667085"/>
          <w:sz w:val="20"/>
        </w:rPr>
        <w:t>Working assumptions</w:t>
      </w:r>
    </w:p>
    <w:p>
      <w:pPr>
        <w:pStyle w:val="ListBullet"/>
        <w:spacing w:after="50"/>
      </w:pPr>
      <w:r>
        <w:rPr>
          <w:rFonts w:ascii="Aptos" w:hAnsi="Aptos"/>
        </w:rPr>
        <w:t>Commerce Platform supports 130+ presentment currencies.</w:t>
      </w:r>
    </w:p>
    <w:p>
      <w:pPr>
        <w:pStyle w:val="ListBullet"/>
        <w:spacing w:after="50"/>
      </w:pPr>
      <w:r>
        <w:rPr>
          <w:rFonts w:ascii="Aptos" w:hAnsi="Aptos"/>
        </w:rPr>
        <w:t>Merchants typically select approximately 3-10 settlement currencies.</w:t>
      </w:r>
    </w:p>
    <w:p>
      <w:pPr>
        <w:pStyle w:val="ListBullet"/>
        <w:spacing w:after="50"/>
      </w:pPr>
      <w:r>
        <w:rPr>
          <w:rFonts w:ascii="Aptos" w:hAnsi="Aptos"/>
        </w:rPr>
        <w:t>The future FX population may grow toward 100K merchants; the majority are expected to use standard JPMC pricing and markup.</w:t>
      </w:r>
    </w:p>
    <w:p>
      <w:pPr>
        <w:pStyle w:val="ListBullet"/>
        <w:spacing w:after="50"/>
      </w:pPr>
      <w:r>
        <w:rPr>
          <w:rFonts w:ascii="Aptos" w:hAnsi="Aptos"/>
        </w:rPr>
        <w:t>FX may be executed through like-for-like settlement, the JPM FX desk, or a network/MOP conversion path.</w:t>
      </w:r>
    </w:p>
    <w:p>
      <w:r>
        <w:br w:type="page"/>
      </w:r>
    </w:p>
    <w:p>
      <w:pPr>
        <w:pStyle w:val="Heading1"/>
      </w:pPr>
      <w:r>
        <w:t>1. Executive Position</w:t>
      </w:r>
    </w:p>
    <w:p>
      <w:r>
        <w:rPr>
          <w:rFonts w:ascii="Aptos" w:hAnsi="Aptos"/>
        </w:rPr>
        <w:t>The Commerce Platform should move from a legacy model in which a single daily FX rate window is implicitly synchronized with merchant EOD to a productized FX model in which rate-lock programs, conversion-provider selection, merchant pricing and delivery channels are independently configurable.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792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Target position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FX rate windows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Create explicit FX Rate Programs independent of Merchant EOD.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proposition</w:t>
            </w:r>
          </w:p>
        </w:tc>
        <w:tc>
          <w:tcPr>
            <w:tcW w:type="dxa" w:w="79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Offer a single JPMC merchant FX rate wherever commercially intended, even when execution uses different underlying sources.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Risk management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Measure and manage source-basis and timing exposure explicitly by currency, MOP, rate program and tenor.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 distribution</w:t>
            </w:r>
          </w:p>
        </w:tc>
        <w:tc>
          <w:tcPr>
            <w:tcW w:type="dxa" w:w="79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Retain pre-computed merchant FX rate files as a compatibility channel.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Strategic distribution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Launch GET FX Rates API for published rates; evolve to POST FX Quote API for confirmed, time-bound rates.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 generation</w:t>
            </w:r>
          </w:p>
        </w:tc>
        <w:tc>
          <w:tcPr>
            <w:tcW w:type="dxa" w:w="79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Generate shared source/product rate books; materialize merchant outputs only for eligible presentment-to-settlement routes and assigned markups.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Scale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standard JPMC product rate books and pricing plans for the majority of merchants; treat merchant-specific rates as exceptions.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9F5EE"/>
          <w:left w:val="single" w:sz="0" w:space="0" w:color="E9F5EE"/>
          <w:bottom w:val="single" w:sz="0" w:space="0" w:color="E9F5EE"/>
          <w:right w:val="single" w:sz="0" w:space="0" w:color="E9F5EE"/>
          <w:insideH w:val="single" w:sz="0" w:space="0" w:color="E9F5EE"/>
          <w:insideV w:val="single" w:sz="0" w:space="0" w:color="E9F5EE"/>
        </w:tblBorders>
      </w:tblPr>
      <w:tblGrid>
        <w:gridCol w:w="10166"/>
      </w:tblGrid>
      <w:tr>
        <w:tc>
          <w:tcPr>
            <w:tcW w:type="dxa" w:w="10166"/>
            <w:shd w:fill="E9F5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The strategic shift is from asking “What is today's FX rate?” to asking “Which JPMC FX rate commitment applies to this transaction or merchant request?”</w:t>
            </w:r>
          </w:p>
        </w:tc>
      </w:tr>
    </w:tbl>
    <w:p>
      <w:pPr>
        <w:spacing w:after="0"/>
      </w:pPr>
    </w:p>
    <w:p>
      <w:pPr>
        <w:pStyle w:val="Heading1"/>
      </w:pPr>
      <w:r>
        <w:t>2. Current-State Context and Design Problem</w:t>
      </w:r>
    </w:p>
    <w:p>
      <w:r>
        <w:rPr>
          <w:rFonts w:ascii="Aptos" w:hAnsi="Aptos"/>
        </w:rPr>
        <w:t>The legacy model publishes a merchant-specific daily rate file before the processing day. The merchant rate is based on a network reference (historically Visa) plus the merchant's assigned markup, and is held for approximately 24 hours. The historical 10 PM ET FX cutoff aligned with the legacy global merchant EOD.</w:t>
      </w:r>
    </w:p>
    <w:p>
      <w:r>
        <w:rPr>
          <w:rFonts w:ascii="Aptos" w:hAnsi="Aptos"/>
        </w:rPr>
        <w:t>Commerce Platform changes the operating assumptions. Merchant EOD is configurable by region and merchant; FX conversion may be sourced from Visa, Mastercard or the JPM FX desk; and future MOP-specific conversion creates a mismatch with a single universal source rate. At the same time, the merchant proposition is expected to remain simple: a predictable JPMC FX rate rather than a different commercial experience for each conversion provider.</w:t>
      </w:r>
    </w:p>
    <w:p>
      <w:pPr>
        <w:pStyle w:val="Heading2"/>
      </w:pPr>
      <w:r>
        <w:t>Core design tensions</w:t>
      </w:r>
    </w:p>
    <w:p>
      <w:pPr>
        <w:pStyle w:val="ListBullet"/>
        <w:spacing w:after="50"/>
      </w:pPr>
      <w:r>
        <w:rPr>
          <w:rFonts w:ascii="Aptos" w:hAnsi="Aptos"/>
        </w:rPr>
        <w:t>Regional EOD flexibility versus a globally synchronized 24-hour FX rate window.</w:t>
      </w:r>
    </w:p>
    <w:p>
      <w:pPr>
        <w:pStyle w:val="ListBullet"/>
        <w:spacing w:after="50"/>
      </w:pPr>
      <w:r>
        <w:rPr>
          <w:rFonts w:ascii="Aptos" w:hAnsi="Aptos"/>
        </w:rPr>
        <w:t>A single JPMC merchant rate versus multiple underlying execution/reference rates.</w:t>
      </w:r>
    </w:p>
    <w:p>
      <w:pPr>
        <w:pStyle w:val="ListBullet"/>
        <w:spacing w:after="50"/>
      </w:pPr>
      <w:r>
        <w:rPr>
          <w:rFonts w:ascii="Aptos" w:hAnsi="Aptos"/>
        </w:rPr>
        <w:t>Legacy bulk files versus API-native Commerce Platform integration.</w:t>
      </w:r>
    </w:p>
    <w:p>
      <w:pPr>
        <w:pStyle w:val="ListBullet"/>
        <w:spacing w:after="50"/>
      </w:pPr>
      <w:r>
        <w:rPr>
          <w:rFonts w:ascii="Aptos" w:hAnsi="Aptos"/>
        </w:rPr>
        <w:t>130+ presentment currencies versus a merchant's much smaller set of selected settlement currencies.</w:t>
      </w:r>
    </w:p>
    <w:p>
      <w:pPr>
        <w:pStyle w:val="ListBullet"/>
        <w:spacing w:after="50"/>
      </w:pPr>
      <w:r>
        <w:rPr>
          <w:rFonts w:ascii="Aptos" w:hAnsi="Aptos"/>
        </w:rPr>
        <w:t>100K merchant scale versus the need to avoid 100K independently calculated rate books.</w:t>
      </w:r>
    </w:p>
    <w:p>
      <w:pPr>
        <w:pStyle w:val="Heading1"/>
      </w:pPr>
      <w:r>
        <w:t>3. Product Capability Model</w:t>
      </w:r>
    </w:p>
    <w:p>
      <w:r>
        <w:rPr>
          <w:rFonts w:ascii="Aptos" w:hAnsi="Aptos"/>
        </w:rPr>
        <w:t>The FX engine should be treated as a product platform with distinct layers. This prevents current implementation constraints - particularly network settlement support, daily files and EOD synchronization - from defining the long-term product.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Capability layer</w:t>
            </w:r>
          </w:p>
        </w:tc>
        <w:tc>
          <w:tcPr>
            <w:tcW w:type="dxa" w:w="734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Primary responsibilities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 Merchant FX Experience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Currency acceptance, settlement-currency preferences, rate visibility, file/API access, reporting and merchant controls.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2. FX Commercialization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 pricing plans, merchant markups, negotiated overrides, lock/tenor premiums and commercial eligibility.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3. FX Routing &amp; Optimization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Select like-for-like, JPM FX, Visa, Mastercard or other MOP conversion path; future support for optimized two-leg conversion where justified.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4. FX Rate Management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Source-rate ingestion, normalization, rate books, calendars, validity windows, guarantees, versioning and controls.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5. FX Execution &amp; Risk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Conversion execution, aggregate exposure, hedging/offsetting, provider basis risk, timing risk and limit management.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6. FX Accounting &amp; Reconciliation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Presentment, network-settlement and merchant-funding currencies; rate lineage; P&amp;L attribution; refunds, reversals and exceptions.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Commerce Platform should own the merchant FX proposition, rate policy and routing decision; Visa, Mastercard and the JPM FX desk are execution/reference-rate sources behind that proposition.</w:t>
            </w:r>
          </w:p>
        </w:tc>
      </w:tr>
    </w:tbl>
    <w:p>
      <w:pPr>
        <w:spacing w:after="0"/>
      </w:pPr>
    </w:p>
    <w:p>
      <w:pPr>
        <w:pStyle w:val="Heading1"/>
      </w:pPr>
      <w:r>
        <w:t>4. FX Rate Programs Independent of Merchant EOD</w:t>
      </w:r>
    </w:p>
    <w:p>
      <w:r>
        <w:rPr>
          <w:rFonts w:ascii="Aptos" w:hAnsi="Aptos"/>
        </w:rPr>
        <w:t>Merchant EOD defines the merchant's processing/financial day. An FX Rate Program defines when JPMC establishes a rate, how long it remains valid, the applicable rate source/policy, and the level of rate certainty provided to the merchant. The two can be synchronized where commercially useful, but they should not be the same platform primitive.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FX Rate Program</w:t>
            </w:r>
          </w:p>
        </w:tc>
        <w:tc>
          <w:tcPr>
            <w:tcW w:type="dxa" w:w="554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Illustrative behavior</w:t>
            </w:r>
          </w:p>
        </w:tc>
        <w:tc>
          <w:tcPr>
            <w:tcW w:type="dxa" w:w="252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 Global Daily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One 24-hour rate window anchored to the legacy 10 PM ET cutoff. Existing merchant file experience is preserved even if Commerce Platform EOD differs.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Grandfathered merchants / migration compatibility.</w:t>
            </w:r>
          </w:p>
        </w:tc>
      </w:tr>
      <w:t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Regional Daily</w:t>
            </w:r>
          </w:p>
        </w:tc>
        <w:tc>
          <w:tcPr>
            <w:tcW w:type="dxa" w:w="55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small number of controlled regional FX calendars (e.g., Americas, EMEA, APAC). All merchants assigned to a calendar inherit the same source/product rate book for that window.</w:t>
            </w:r>
          </w:p>
        </w:tc>
        <w:tc>
          <w:tcPr>
            <w:tcW w:type="dxa" w:w="25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Default daily-rate program for new regional deployments.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Premium / Merchant-Aligned Cutoff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 window is aligned to a merchant-specific or premium cutoff when there is sufficient commercial value to justify bespoke timing and risk.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Selected enterprise merchants requiring treasury/accounting alignment.</w:t>
            </w:r>
          </w:p>
        </w:tc>
      </w:tr>
      <w:t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On-Demand Quote</w:t>
            </w:r>
          </w:p>
        </w:tc>
        <w:tc>
          <w:tcPr>
            <w:tcW w:type="dxa" w:w="55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requests a rate when needed; JPMC returns a rate with an explicit validity/expiry. Future confirmed quote is transaction or amount aware.</w:t>
            </w:r>
          </w:p>
        </w:tc>
        <w:tc>
          <w:tcPr>
            <w:tcW w:type="dxa" w:w="25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API-native merchants and advanced FX use cases.</w:t>
            </w:r>
          </w:p>
        </w:tc>
      </w:tr>
    </w:tbl>
    <w:p>
      <w:pPr>
        <w:spacing w:after="0"/>
      </w:pPr>
    </w:p>
    <w:p>
      <w:pPr>
        <w:pStyle w:val="Heading2"/>
      </w:pPr>
      <w:r>
        <w:t>Illustrative examples</w:t>
      </w:r>
    </w:p>
    <w:p>
      <w:pPr>
        <w:pStyle w:val="ListBullet"/>
        <w:spacing w:after="50"/>
      </w:pPr>
      <w:r>
        <w:rPr>
          <w:rFonts w:ascii="Aptos" w:hAnsi="Aptos"/>
        </w:rPr>
        <w:t>Legacy merchant: processing EOD moves to midnight local time, but its FX program remains 10 PM ET-to-10 PM ET. The FX experience is grandfathered without forcing the processing calendar to stay legacy.</w:t>
      </w:r>
    </w:p>
    <w:p>
      <w:pPr>
        <w:pStyle w:val="ListBullet"/>
        <w:spacing w:after="50"/>
      </w:pPr>
      <w:r>
        <w:rPr>
          <w:rFonts w:ascii="Aptos" w:hAnsi="Aptos"/>
        </w:rPr>
        <w:t>EMEA merchant: settlement EOD is configurable, while the merchant subscribes to an EMEA Daily FX Program anchored to a controlled London-region cutoff.</w:t>
      </w:r>
    </w:p>
    <w:p>
      <w:pPr>
        <w:pStyle w:val="ListBullet"/>
        <w:spacing w:after="50"/>
      </w:pPr>
      <w:r>
        <w:rPr>
          <w:rFonts w:ascii="Aptos" w:hAnsi="Aptos"/>
        </w:rPr>
        <w:t>Premium enterprise merchant: JPMC deliberately synchronizes the FX rate window with the merchant's treasury close because the merchant pays for or economically justifies the additional rate-lock risk.</w:t>
      </w:r>
    </w:p>
    <w:p>
      <w:pPr>
        <w:pStyle w:val="ListBullet"/>
        <w:spacing w:after="50"/>
      </w:pPr>
      <w:r>
        <w:rPr>
          <w:rFonts w:ascii="Aptos" w:hAnsi="Aptos"/>
        </w:rPr>
        <w:t>API merchant: instead of waiting for a daily file, the merchant obtains the currently applicable rate through GET FX Rates; later it may request a time-bound confirmed quote through POST FX Quote.</w:t>
      </w:r>
    </w:p>
    <w:p>
      <w:pPr>
        <w:pStyle w:val="Heading2"/>
      </w:pPr>
      <w:r>
        <w:t>Recommended configuration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Configuration dimension</w:t>
            </w:r>
          </w:p>
        </w:tc>
        <w:tc>
          <w:tcPr>
            <w:tcW w:type="dxa" w:w="720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 program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LEGACY_DAILY / REGIONAL_DAILY / PREMIUM_CUTOFF / ON_DEMAND_QUOTE</w:t>
            </w:r>
          </w:p>
        </w:tc>
      </w:tr>
      <w:tr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 calendar</w:t>
            </w:r>
          </w:p>
        </w:tc>
        <w:tc>
          <w:tcPr>
            <w:tcW w:type="dxa" w:w="72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 PM ET / Americas / EMEA / APAC / bespoke approved calendar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 source policy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JPM FX / Visa / Mastercard / source-selection policy</w:t>
            </w:r>
          </w:p>
        </w:tc>
      </w:tr>
      <w:tr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MOP scope</w:t>
            </w:r>
          </w:p>
        </w:tc>
        <w:tc>
          <w:tcPr>
            <w:tcW w:type="dxa" w:w="72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All MOPs / card networks / specific MOP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Guarantee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Published-guaranteed / indicative / provider pass-through / confirmed quote</w:t>
            </w:r>
          </w:p>
        </w:tc>
      </w:tr>
      <w:tr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Binding event</w:t>
            </w:r>
          </w:p>
        </w:tc>
        <w:tc>
          <w:tcPr>
            <w:tcW w:type="dxa" w:w="72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Rate-file publication / API lookup / quote confirmation / capture or other configured financial event</w:t>
            </w:r>
          </w:p>
        </w:tc>
      </w:tr>
    </w:tbl>
    <w:p>
      <w:pPr>
        <w:spacing w:after="0"/>
      </w:pPr>
    </w:p>
    <w:p>
      <w:pPr>
        <w:pStyle w:val="Heading1"/>
      </w:pPr>
      <w:r>
        <w:t>5. Rate Hierarchy and Merchant Pricing</w:t>
      </w:r>
    </w:p>
    <w:p>
      <w:r>
        <w:rPr>
          <w:rFonts w:ascii="Aptos" w:hAnsi="Aptos"/>
        </w:rPr>
        <w:t>The platform should normalize Visa, Mastercard and JPM FX into source rate books, then create JPMC product rate books that represent the actual merchant proposition. Most merchants should inherit a standard product rate book and markup; merchant-specific overrides should be the exception.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Hierarchy</w:t>
            </w:r>
          </w:p>
        </w:tc>
        <w:tc>
          <w:tcPr>
            <w:tcW w:type="dxa" w:w="525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73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Layer 1 - Source Rate Book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Executable/reference rates received from an approved conversion source.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VISA_DAILY, MC_DAILY, JPM_FX_DAILY</w:t>
            </w:r>
          </w:p>
        </w:tc>
      </w:tr>
      <w:t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Layer 2 - JPMC Product Rate Book</w:t>
            </w:r>
          </w:p>
        </w:tc>
        <w:tc>
          <w:tcPr>
            <w:tcW w:type="dxa" w:w="52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Source-selection policy plus JPMC standard markup/risk adjustments for a rate program.</w:t>
            </w:r>
          </w:p>
        </w:tc>
        <w:tc>
          <w:tcPr>
            <w:tcW w:type="dxa" w:w="27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STANDARD_JPMC_EMEA, STANDARD_JPMC_LEGACY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Layer 3 - Merchant Override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Optional negotiated pricing, cutoff, settlement or other exception.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Enterprise-specific markup adjustment</w:t>
            </w:r>
          </w:p>
        </w:tc>
      </w:tr>
      <w:t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Layer 4 - Delivery</w:t>
            </w:r>
          </w:p>
        </w:tc>
        <w:tc>
          <w:tcPr>
            <w:tcW w:type="dxa" w:w="52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Representation of the applicable JPMC merchant rate.</w:t>
            </w:r>
          </w:p>
        </w:tc>
        <w:tc>
          <w:tcPr>
            <w:tcW w:type="dxa" w:w="27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 rate file, GET FX Rates response, POST FX Quote response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9F5EE"/>
          <w:left w:val="single" w:sz="0" w:space="0" w:color="E9F5EE"/>
          <w:bottom w:val="single" w:sz="0" w:space="0" w:color="E9F5EE"/>
          <w:right w:val="single" w:sz="0" w:space="0" w:color="E9F5EE"/>
          <w:insideH w:val="single" w:sz="0" w:space="0" w:color="E9F5EE"/>
          <w:insideV w:val="single" w:sz="0" w:space="0" w:color="E9F5EE"/>
        </w:tblBorders>
      </w:tblPr>
      <w:tblGrid>
        <w:gridCol w:w="10166"/>
      </w:tblGrid>
      <w:tr>
        <w:tc>
          <w:tcPr>
            <w:tcW w:type="dxa" w:w="10166"/>
            <w:shd w:fill="E9F5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Scale principle: reference rates are computed by source and product cohort; merchants inherit product rate books. The platform should not create 100K independent FX calculations simply because it supports 100K merchants.</w:t>
            </w:r>
          </w:p>
        </w:tc>
      </w:tr>
    </w:tbl>
    <w:p>
      <w:pPr>
        <w:spacing w:after="0"/>
      </w:pPr>
    </w:p>
    <w:p>
      <w:pPr>
        <w:pStyle w:val="Heading2"/>
      </w:pPr>
      <w:r>
        <w:t>Standard versus bespoke merchants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Merchant class</w:t>
            </w:r>
          </w:p>
        </w:tc>
        <w:tc>
          <w:tcPr>
            <w:tcW w:type="dxa" w:w="532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Rate construct</w:t>
            </w:r>
          </w:p>
        </w:tc>
        <w:tc>
          <w:tcPr>
            <w:tcW w:type="dxa" w:w="288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Expected use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 JPMC source policy + standard markup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Large majority of future Commerce Platform merchants</w:t>
            </w:r>
          </w:p>
        </w:tc>
      </w:tr>
      <w:tr>
        <w:tc>
          <w:tcPr>
            <w:tcW w:type="dxa" w:w="201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Tiered</w:t>
            </w:r>
          </w:p>
        </w:tc>
        <w:tc>
          <w:tcPr>
            <w:tcW w:type="dxa" w:w="53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 JPMC source policy + predefined pricing-tier markup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Scaled commercial segmentation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Bespoke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Standard/product base with merchant-specific overrides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Selected enterprise merchants</w:t>
            </w:r>
          </w:p>
        </w:tc>
      </w:tr>
    </w:tbl>
    <w:p>
      <w:pPr>
        <w:spacing w:after="0"/>
      </w:pPr>
    </w:p>
    <w:p>
      <w:pPr>
        <w:pStyle w:val="Heading1"/>
      </w:pPr>
      <w:r>
        <w:t>6. Single JPMC Merchant Rate: Risk Exposure and Viable Risk Plan</w:t>
      </w:r>
    </w:p>
    <w:p>
      <w:r>
        <w:rPr>
          <w:rFonts w:ascii="Aptos" w:hAnsi="Aptos"/>
        </w:rPr>
        <w:t>Offering one JPMC merchant rate while underlying conversion is executed against Visa, Mastercard and JPM FX rates creates intentional basis and timing exposure. This is not necessarily a reason to expose provider-specific rates to merchants; it is a reason to make the risk explicit, measurable and priced.</w:t>
      </w:r>
    </w:p>
    <w:p>
      <w:pPr>
        <w:pStyle w:val="Heading2"/>
      </w:pPr>
      <w:r>
        <w:t>Risk types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547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88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Illustration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 basis risk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JPMC commits one merchant rate while Visa, Mastercard or JPM FX settles at a different underlying rate.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receives one THB/USD rate; Visa and MC conversion outcomes differ.</w:t>
            </w:r>
          </w:p>
        </w:tc>
      </w:tr>
      <w:tr>
        <w:tc>
          <w:tcPr>
            <w:tcW w:type="dxa" w:w="18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Timing risk</w:t>
            </w:r>
          </w:p>
        </w:tc>
        <w:tc>
          <w:tcPr>
            <w:tcW w:type="dxa" w:w="54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source/execution rate is established later than the merchant's guaranteed rate.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JPMC publishes a 24-hour rate before transactions clear.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Volume / mix risk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Actual Visa/MC/currency mix differs from expected mix used when establishing the merchant rate.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More MC volume arrives on a day where MC is unfavorable versus the unified rate.</w:t>
            </w:r>
          </w:p>
        </w:tc>
      </w:tr>
      <w:tr>
        <w:tc>
          <w:tcPr>
            <w:tcW w:type="dxa" w:w="18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Cutoff / tenor risk</w:t>
            </w:r>
          </w:p>
        </w:tc>
        <w:tc>
          <w:tcPr>
            <w:tcW w:type="dxa" w:w="54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Longer or bespoke lock windows create additional market exposure.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Premium merchant locks to a nonstandard EOD.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Residual / operational risk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Late presentment, corrections, refunds, reversals or source-rate exceptions create unmatched positions.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Clearing arrives after the intended FX window.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risk-management framework</w:t>
      </w:r>
    </w:p>
    <w:p>
      <w:pPr>
        <w:spacing w:after="60"/>
        <w:ind w:left="173"/>
      </w:pPr>
      <w:r>
        <w:rPr>
          <w:rFonts w:ascii="Aptos" w:hAnsi="Aptos"/>
        </w:rPr>
        <w:t>1. Normalize source rates. Ingest Visa, Mastercard and JPM FX source rates into versioned source rate books using common currency-pair conventions, timestamps and effective periods.</w:t>
      </w:r>
    </w:p>
    <w:p>
      <w:pPr>
        <w:spacing w:after="60"/>
        <w:ind w:left="173"/>
      </w:pPr>
      <w:r>
        <w:rPr>
          <w:rFonts w:ascii="Aptos" w:hAnsi="Aptos"/>
        </w:rPr>
        <w:t>2. Establish a JPMC unified rate policy. For each currency/MOP/rate program, define which source or blended policy is used to establish the merchant rate. The merchant rate does not need to reveal the execution source.</w:t>
      </w:r>
    </w:p>
    <w:p>
      <w:pPr>
        <w:spacing w:after="60"/>
        <w:ind w:left="173"/>
      </w:pPr>
      <w:r>
        <w:rPr>
          <w:rFonts w:ascii="Aptos" w:hAnsi="Aptos"/>
        </w:rPr>
        <w:t>3. Add explicit risk buffers. Standard JPMC pricing should include a defined allowance for source-basis and rate-lock exposure, separate from the commercial merchant markup where Finance/Treasury require visibility.</w:t>
      </w:r>
    </w:p>
    <w:p>
      <w:pPr>
        <w:spacing w:after="60"/>
        <w:ind w:left="173"/>
      </w:pPr>
      <w:r>
        <w:rPr>
          <w:rFonts w:ascii="Aptos" w:hAnsi="Aptos"/>
        </w:rPr>
        <w:t>4. Aggregate exposure. Manage risk by currency pair, source/MOP, rate program and remaining tenor rather than merchant by merchant. Merchant-specific cutoffs create pricing commitments; they do not require merchant-specific hedges.</w:t>
      </w:r>
    </w:p>
    <w:p>
      <w:pPr>
        <w:spacing w:after="60"/>
        <w:ind w:left="173"/>
      </w:pPr>
      <w:r>
        <w:rPr>
          <w:rFonts w:ascii="Aptos" w:hAnsi="Aptos"/>
        </w:rPr>
        <w:t>5. Set limits and exception thresholds. Define tolerances for source divergence, market moves, unsupported rate publication, stale source rates and unusually large merchant/transaction exposure.</w:t>
      </w:r>
    </w:p>
    <w:p>
      <w:pPr>
        <w:spacing w:after="60"/>
        <w:ind w:left="173"/>
      </w:pPr>
      <w:r>
        <w:rPr>
          <w:rFonts w:ascii="Aptos" w:hAnsi="Aptos"/>
        </w:rPr>
        <w:t>6. Attribute FX P&amp;L. Separate merchant pricing revenue from source-basis P&amp;L, timing/hedging P&amp;L and operational residuals. This is essential to determine whether the unified-rate proposition is economically accretive.</w:t>
      </w:r>
    </w:p>
    <w:p>
      <w:pPr>
        <w:spacing w:after="60"/>
        <w:ind w:left="173"/>
      </w:pPr>
      <w:r>
        <w:rPr>
          <w:rFonts w:ascii="Aptos" w:hAnsi="Aptos"/>
        </w:rPr>
        <w:t>7. Recalibrate product pricing. Use realized basis and timing P&amp;L to tune standard risk buffers, premium-cutoff pricing and eligibility rules.</w:t>
      </w:r>
    </w:p>
    <w:p>
      <w:pPr>
        <w:pStyle w:val="Heading2"/>
      </w:pPr>
      <w:r>
        <w:t>Illustrative unified-rate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92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 Source rates received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Visa THB/USD = A; Mastercard THB/USD = B; JPM FX benchmark/transfer rate = C.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2. JPMC rate policy</w:t>
            </w:r>
          </w:p>
        </w:tc>
        <w:tc>
          <w:tcPr>
            <w:tcW w:type="dxa" w:w="79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Determine the source methodology for the applicable product program; apply risk adjustment and merchant markup.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3. Merchant commitment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Publish one JPMC THB/USD merchant rate for the applicable validity window.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4. Execution</w:t>
            </w:r>
          </w:p>
        </w:tc>
        <w:tc>
          <w:tcPr>
            <w:tcW w:type="dxa" w:w="79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Actual transactions convert/settle through Visa, Mastercard or JPM FX as required by the route.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5. P&amp;L attribution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Difference between merchant commitment and underlying execution is captured as source/timing FX P&amp;L, distinct from merchant markup revenue.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Recommended control objective: JPMC should know, for every published or confirmed merchant rate, the source-rate lineage, assumed execution path, risk buffer, markup, validity window and realized execution outcome.</w:t>
            </w:r>
          </w:p>
        </w:tc>
      </w:tr>
    </w:tbl>
    <w:p>
      <w:pPr>
        <w:spacing w:after="0"/>
      </w:pPr>
    </w:p>
    <w:p>
      <w:pPr>
        <w:pStyle w:val="Heading1"/>
      </w:pPr>
      <w:r>
        <w:t>7. Distribution Strategy: Legacy Files to FX Rate and Quote APIs</w:t>
      </w:r>
    </w:p>
    <w:p>
      <w:r>
        <w:rPr>
          <w:rFonts w:ascii="Aptos" w:hAnsi="Aptos"/>
        </w:rPr>
        <w:t>The platform should preserve file delivery for merchants that depend on it, but the strategic Commerce Platform interface should be API-based. File and API are distribution channels over the same JPMC rate objects - not separate FX engines.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554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88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Merchant experience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 Legacy Rate File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Pre-computed JPMC rates are materialized before the processing/rate day and delivered through the reporting access point.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 integration change for existing merchants.</w:t>
            </w:r>
          </w:p>
        </w:tc>
      </w:tr>
      <w:tr>
        <w:tc>
          <w:tcPr>
            <w:tcW w:type="dxa" w:w="20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2. GET FX Rates API</w:t>
            </w:r>
          </w:p>
        </w:tc>
        <w:tc>
          <w:tcPr>
            <w:tcW w:type="dxa" w:w="55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retrieves the currently published JPMC rate or a full applicable rate set. No new rate commitment is created by the request.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API equivalent of the daily rate file; supports bulk or pair-level retrieval.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3. POST FX Quote API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requests a confirmed rate, potentially with amount, currencies and requested validity. Response includes quote ID, rate and expiry.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Explicit, time-bound JPMC commitment suitable for transaction use.</w:t>
            </w:r>
          </w:p>
        </w:tc>
      </w:tr>
    </w:tbl>
    <w:p>
      <w:pPr>
        <w:spacing w:after="0"/>
      </w:pPr>
    </w:p>
    <w:p>
      <w:pPr>
        <w:pStyle w:val="Heading2"/>
      </w:pPr>
      <w:r>
        <w:t>GET FX Rates - target behavior</w:t>
      </w:r>
    </w:p>
    <w:p>
      <w:pPr>
        <w:pStyle w:val="ListBullet"/>
        <w:spacing w:after="50"/>
      </w:pPr>
      <w:r>
        <w:rPr>
          <w:rFonts w:ascii="Aptos" w:hAnsi="Aptos"/>
        </w:rPr>
        <w:t>Return the currently applicable published JPMC merchant rate based on merchant identity, FX Rate Program, rate calendar, pricing plan, presentment currency, settlement currency and optional MOP context.</w:t>
      </w:r>
    </w:p>
    <w:p>
      <w:pPr>
        <w:pStyle w:val="ListBullet"/>
        <w:spacing w:after="50"/>
      </w:pPr>
      <w:r>
        <w:rPr>
          <w:rFonts w:ascii="Aptos" w:hAnsi="Aptos"/>
        </w:rPr>
        <w:t>Support pair-level lookup and full-rate-set retrieval so a merchant can reproduce today's bulk-file experience through an API.</w:t>
      </w:r>
    </w:p>
    <w:p>
      <w:pPr>
        <w:pStyle w:val="ListBullet"/>
        <w:spacing w:after="50"/>
      </w:pPr>
      <w:r>
        <w:rPr>
          <w:rFonts w:ascii="Aptos" w:hAnsi="Aptos"/>
        </w:rPr>
        <w:t>Return rate ID/version, effective-from/effective-to timestamps, rate type/guarantee status and settlement currency.</w:t>
      </w:r>
    </w:p>
    <w:p>
      <w:pPr>
        <w:pStyle w:val="Heading2"/>
      </w:pPr>
      <w:r>
        <w:t>POST FX Quote - target behavior</w:t>
      </w:r>
    </w:p>
    <w:p>
      <w:pPr>
        <w:pStyle w:val="ListBullet"/>
        <w:spacing w:after="50"/>
      </w:pPr>
      <w:r>
        <w:rPr>
          <w:rFonts w:ascii="Aptos" w:hAnsi="Aptos"/>
        </w:rPr>
        <w:t>Create a new confirmed JPMC rate commitment rather than merely retrieving an already-published rate.</w:t>
      </w:r>
    </w:p>
    <w:p>
      <w:pPr>
        <w:pStyle w:val="ListBullet"/>
        <w:spacing w:after="50"/>
      </w:pPr>
      <w:r>
        <w:rPr>
          <w:rFonts w:ascii="Aptos" w:hAnsi="Aptos"/>
        </w:rPr>
        <w:t>Return a unique quote ID, confirmed rate, expiry/validity period and the currencies/amount context used to establish the quote.</w:t>
      </w:r>
    </w:p>
    <w:p>
      <w:pPr>
        <w:pStyle w:val="ListBullet"/>
        <w:spacing w:after="50"/>
      </w:pPr>
      <w:r>
        <w:rPr>
          <w:rFonts w:ascii="Aptos" w:hAnsi="Aptos"/>
        </w:rPr>
        <w:t>Allow future pricing of duration/tenor and premium quote services without changing the core merchant-rate model.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Migration principle: preserve the merchant contract while modernizing the access channel. A legacy merchant can continue receiving a file generated from the same product rate book that a new merchant accesses through GET FX Rates.</w:t>
            </w:r>
          </w:p>
        </w:tc>
      </w:tr>
    </w:tbl>
    <w:p>
      <w:pPr>
        <w:spacing w:after="0"/>
      </w:pPr>
    </w:p>
    <w:p>
      <w:pPr>
        <w:pStyle w:val="Heading1"/>
      </w:pPr>
      <w:r>
        <w:t>8. Merchant Rate File Generation</w:t>
      </w:r>
    </w:p>
    <w:p>
      <w:r>
        <w:rPr>
          <w:rFonts w:ascii="Aptos" w:hAnsi="Aptos"/>
        </w:rPr>
        <w:t>A merchant's rate file should be a filtered, materialized view of the rates that the merchant can actually use. It should not be the Cartesian product of all 130+ presentment currencies and every globally supported settlement currency.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712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Role in file generation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presentment-currency eligibility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Currencies the merchant may present/accept (up to 130+).</w:t>
            </w:r>
          </w:p>
        </w:tc>
      </w:tr>
      <w:tr>
        <w:tc>
          <w:tcPr>
            <w:tcW w:type="dxa" w:w="30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selected settlement currencies</w:t>
            </w:r>
          </w:p>
        </w:tc>
        <w:tc>
          <w:tcPr>
            <w:tcW w:type="dxa" w:w="71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merchant's configured settlement choices, typically approximately 3-10 currencies.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Currency settlement-routing profile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Defines the valid presentment-to-settlement route for each currency or route class.</w:t>
            </w:r>
          </w:p>
        </w:tc>
      </w:tr>
      <w:tr>
        <w:tc>
          <w:tcPr>
            <w:tcW w:type="dxa" w:w="30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FX Rate Program / calendar</w:t>
            </w:r>
          </w:p>
        </w:tc>
        <w:tc>
          <w:tcPr>
            <w:tcW w:type="dxa" w:w="71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Determines the active rate book and validity window.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Pricing plan / markup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Applies standard or merchant-specific markup to the selected base/product rate.</w:t>
            </w:r>
          </w:p>
        </w:tc>
      </w:tr>
      <w:tr>
        <w:tc>
          <w:tcPr>
            <w:tcW w:type="dxa" w:w="30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MOP policy</w:t>
            </w:r>
          </w:p>
        </w:tc>
        <w:tc>
          <w:tcPr>
            <w:tcW w:type="dxa" w:w="71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Determines whether the file presents a unified JPMC rate or, where explicitly supported, MOP-specific treatment.</w:t>
            </w:r>
          </w:p>
        </w:tc>
      </w:tr>
    </w:tbl>
    <w:p>
      <w:pPr>
        <w:spacing w:after="0"/>
      </w:pPr>
    </w:p>
    <w:p>
      <w:pPr>
        <w:pStyle w:val="Heading2"/>
      </w:pPr>
      <w:r>
        <w:t>Illustrative merchant configuration</w:t>
      </w:r>
    </w:p>
    <w:p>
      <w:r>
        <w:rPr>
          <w:rFonts w:ascii="Aptos" w:hAnsi="Aptos"/>
        </w:rPr>
        <w:t>Merchant accepts 130+ currencies and maintains USD, EUR, GBP, CAD and AUD settlement currencies. The routing profile may define: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Presentment</w:t>
            </w:r>
          </w:p>
        </w:tc>
        <w:tc>
          <w:tcPr>
            <w:tcW w:type="dxa" w:w="302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Merchant settlement</w:t>
            </w:r>
          </w:p>
        </w:tc>
        <w:tc>
          <w:tcPr>
            <w:tcW w:type="dxa" w:w="489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Treatment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USD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Like-for-like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EUR</w:t>
            </w:r>
          </w:p>
        </w:tc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EUR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Like-for-like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GBP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GBP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Like-for-like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JPY</w:t>
            </w:r>
          </w:p>
        </w:tc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USD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JPMC FX or configured route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THB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USD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Extended/network-assisted FX</w:t>
            </w:r>
          </w:p>
        </w:tc>
      </w:tr>
      <w:t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PLN</w:t>
            </w:r>
          </w:p>
        </w:tc>
        <w:tc>
          <w:tcPr>
            <w:tcW w:type="dxa" w:w="302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EUR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Configured JPMC/network route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The file generator selects only applicable routes, applies the merchant's assigned markup, and publishes the resulting JPMC merchant rates. For standard merchants, most of this output is a filter of a shared JPMC product rate book rather than a new FX calculation.</w:t>
      </w:r>
    </w:p>
    <w:p>
      <w:pPr>
        <w:pStyle w:val="Heading1"/>
      </w:pPr>
      <w:r>
        <w:t>9. Target-State Architecture and Data Objects</w:t>
      </w:r>
    </w:p>
    <w:p>
      <w:r>
        <w:rPr>
          <w:rFonts w:ascii="Aptos" w:hAnsi="Aptos"/>
        </w:rPr>
        <w:t>The recommended architecture separates source-rate ingestion, product pricing, merchant configuration, risk and delivery. This supports both 100K-merchant scale and backward compatibility.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Core object</w:t>
            </w:r>
          </w:p>
        </w:tc>
        <w:tc>
          <w:tcPr>
            <w:tcW w:type="dxa" w:w="7344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 Rate Book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Versioned Visa, Mastercard and JPM FX rates with effective timestamps and source lineage.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FX Rate Program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Defines calendar/cutoff, cadence, guarantee, binding behavior and source-rate policy.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JPMC Product Rate Book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Materialized or logically derived rates for a standard JPMC FX product/pricing cohort.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Merchant FX Profile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References pricing plan, eligible currencies, selected settlement currencies, route mappings, MOP policy and any approved overrides.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Published Merchant Rate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Auditable rate commitment exposed through file or GET API, including rate/version lineage and effective window.</w:t>
            </w:r>
          </w:p>
        </w:tc>
      </w:tr>
      <w:t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FX Quote</w:t>
            </w:r>
          </w:p>
        </w:tc>
        <w:tc>
          <w:tcPr>
            <w:tcW w:type="dxa" w:w="73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On-demand confirmed rate commitment created by POST FX Quote with quote ID and expiry.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FX Exposure Position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Aggregated source/timing exposure by currency pair, MOP/source, program and tenor.</w:t>
            </w:r>
          </w:p>
        </w:tc>
      </w:tr>
    </w:tbl>
    <w:p>
      <w:pPr>
        <w:spacing w:after="0"/>
      </w:pPr>
    </w:p>
    <w:p>
      <w:pPr>
        <w:pStyle w:val="Heading2"/>
      </w:pPr>
      <w:r>
        <w:t>Logical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0166"/>
      </w:tblGrid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Visa / Mastercard / JPM FX source rates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Versioned Source Rate Books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FX Rate Program + Source-Selection Policy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JPMC Product Rate Book + Standard Pricing / Risk Adjustment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Merchant FX Profile + Optional Override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Published Merchant Rate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Legacy File  |  GET FX Rates API  |  POST FX Quote API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C5F8A"/>
                <w:sz w:val="22"/>
              </w:rPr>
              <w:t>↓</w:t>
            </w:r>
          </w:p>
        </w:tc>
      </w:tr>
      <w:tr>
        <w:tc>
          <w:tcPr>
            <w:tcW w:type="dxa" w:w="1016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3A5F"/>
                <w:sz w:val="18"/>
              </w:rPr>
              <w:t>Transaction settlement / FX execution + P&amp;L / exposure attribution</w:t>
            </w:r>
          </w:p>
        </w:tc>
      </w:tr>
    </w:tbl>
    <w:p>
      <w:pPr>
        <w:spacing w:after="0"/>
      </w:pPr>
    </w:p>
    <w:p>
      <w:pPr>
        <w:pStyle w:val="Heading1"/>
      </w:pPr>
      <w:r>
        <w:t>10. Design Principles and Decisions</w:t>
      </w:r>
    </w:p>
    <w:p>
      <w:pPr>
        <w:pStyle w:val="ListBullet"/>
        <w:spacing w:after="50"/>
      </w:pPr>
      <w:r>
        <w:rPr>
          <w:rFonts w:ascii="Aptos" w:hAnsi="Aptos"/>
        </w:rPr>
        <w:t>One JPMC merchant proposition, multiple execution sources. Merchant simplicity should not require the platform to hide risk from itself.</w:t>
      </w:r>
    </w:p>
    <w:p>
      <w:pPr>
        <w:pStyle w:val="ListBullet"/>
        <w:spacing w:after="50"/>
      </w:pPr>
      <w:r>
        <w:rPr>
          <w:rFonts w:ascii="Aptos" w:hAnsi="Aptos"/>
        </w:rPr>
        <w:t>FX Rate Program is independent of Merchant EOD. Synchronization is an optional product behavior, not an architectural dependency.</w:t>
      </w:r>
    </w:p>
    <w:p>
      <w:pPr>
        <w:pStyle w:val="ListBullet"/>
        <w:spacing w:after="50"/>
      </w:pPr>
      <w:r>
        <w:rPr>
          <w:rFonts w:ascii="Aptos" w:hAnsi="Aptos"/>
        </w:rPr>
        <w:t>Files are compatibility; APIs are strategic. Both must expose the same underlying JPMC rate objects.</w:t>
      </w:r>
    </w:p>
    <w:p>
      <w:pPr>
        <w:pStyle w:val="ListBullet"/>
        <w:spacing w:after="50"/>
      </w:pPr>
      <w:r>
        <w:rPr>
          <w:rFonts w:ascii="Aptos" w:hAnsi="Aptos"/>
        </w:rPr>
        <w:t>Source rates are not merchant rates. Visa, Mastercard and JPM FX rates are normalized inputs; JPMC Product Rates are the merchant-facing commercial output.</w:t>
      </w:r>
    </w:p>
    <w:p>
      <w:pPr>
        <w:pStyle w:val="ListBullet"/>
        <w:spacing w:after="50"/>
      </w:pPr>
      <w:r>
        <w:rPr>
          <w:rFonts w:ascii="Aptos" w:hAnsi="Aptos"/>
        </w:rPr>
        <w:t>Standardize first, override by exception. At 100K merchants, most merchants should reference common rate programs and pricing plans.</w:t>
      </w:r>
    </w:p>
    <w:p>
      <w:pPr>
        <w:pStyle w:val="ListBullet"/>
        <w:spacing w:after="50"/>
      </w:pPr>
      <w:r>
        <w:rPr>
          <w:rFonts w:ascii="Aptos" w:hAnsi="Aptos"/>
        </w:rPr>
        <w:t>Materialize only what is needed. Merchant files should contain applicable presentment-to-settlement routes and assigned markups, not every theoretical currency cross.</w:t>
      </w:r>
    </w:p>
    <w:p>
      <w:pPr>
        <w:pStyle w:val="ListBullet"/>
        <w:spacing w:after="50"/>
      </w:pPr>
      <w:r>
        <w:rPr>
          <w:rFonts w:ascii="Aptos" w:hAnsi="Aptos"/>
        </w:rPr>
        <w:t>Risk is explicit and attributable. Unified merchant rates require visible source-basis, timing and tenor risk management.</w:t>
      </w:r>
    </w:p>
    <w:p>
      <w:pPr>
        <w:pStyle w:val="ListBullet"/>
        <w:spacing w:after="50"/>
      </w:pPr>
      <w:r>
        <w:rPr>
          <w:rFonts w:ascii="Aptos" w:hAnsi="Aptos"/>
        </w:rPr>
        <w:t>Every rate must be reproducible. Rate ID, source lineage, markup, program, validity window and execution outcome should be auditable.</w:t>
      </w:r>
    </w:p>
    <w:p>
      <w:pPr>
        <w:pStyle w:val="Heading1"/>
      </w:pPr>
      <w:r>
        <w:t>11. Recommended Delivery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47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952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Phase 1 - Foundation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 rate normalization; versioned rate books; FX Rate Programs; legacy global + regional calendars; product pricing hierarchy.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Decouple FX from Merchant EOD while preserving legacy behavior.</w:t>
            </w:r>
          </w:p>
        </w:tc>
      </w:tr>
      <w:tr>
        <w:tc>
          <w:tcPr>
            <w:tcW w:type="dxa" w:w="20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Phase 2 - Unified Rate + Risk</w:t>
            </w:r>
          </w:p>
        </w:tc>
        <w:tc>
          <w:tcPr>
            <w:tcW w:type="dxa" w:w="54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Single JPMC merchant rate policy; source/MOP exposure aggregation; P&amp;L attribution; limits and risk controls.</w:t>
            </w:r>
          </w:p>
        </w:tc>
        <w:tc>
          <w:tcPr>
            <w:tcW w:type="dxa" w:w="295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Make Visa/MC/JPM FX basis risk an intentional, managed product decision.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Phase 3 - Distribution Modernization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 file generator on new rate service; GET FX Rates API for pair and bulk retrieval.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One rate platform supporting both old and new merchants.</w:t>
            </w:r>
          </w:p>
        </w:tc>
      </w:tr>
      <w:tr>
        <w:tc>
          <w:tcPr>
            <w:tcW w:type="dxa" w:w="20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Phase 4 - Quote Product</w:t>
            </w:r>
          </w:p>
        </w:tc>
        <w:tc>
          <w:tcPr>
            <w:tcW w:type="dxa" w:w="547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POST FX Quote API with quote ID, expiry, amount/context and confirmed rate.</w:t>
            </w:r>
          </w:p>
        </w:tc>
        <w:tc>
          <w:tcPr>
            <w:tcW w:type="dxa" w:w="295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On-demand rate commitments and premium/dynamic FX capability.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Phase 5 - Optimization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route economics, optional two-leg FX, automated pricing/risk calibration and expanded MOP support.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Optimize FX economics while retaining a consistent JPMC merchant experience.</w:t>
            </w:r>
          </w:p>
        </w:tc>
      </w:tr>
    </w:tbl>
    <w:p>
      <w:pPr>
        <w:spacing w:after="0"/>
      </w:pPr>
    </w:p>
    <w:p>
      <w:pPr>
        <w:pStyle w:val="Heading1"/>
      </w:pPr>
      <w:r>
        <w:t>12. Decisions to Close During Detailed Design</w:t>
      </w:r>
    </w:p>
    <w:p>
      <w:pPr>
        <w:pStyle w:val="ListBullet"/>
        <w:spacing w:after="50"/>
      </w:pPr>
      <w:r>
        <w:rPr>
          <w:rFonts w:ascii="Aptos" w:hAnsi="Aptos"/>
        </w:rPr>
        <w:t>What exact source-rate methodology establishes the unified JPMC rate by currency class and MOP - JPM FX, network source, blended/selected source, or another treasury-approved methodology?</w:t>
      </w:r>
    </w:p>
    <w:p>
      <w:pPr>
        <w:pStyle w:val="ListBullet"/>
        <w:spacing w:after="50"/>
      </w:pPr>
      <w:r>
        <w:rPr>
          <w:rFonts w:ascii="Aptos" w:hAnsi="Aptos"/>
        </w:rPr>
        <w:t>What source-basis/rate-lock risk buffer is embedded in standard JPMC pricing, and who owns approval/change governance?</w:t>
      </w:r>
    </w:p>
    <w:p>
      <w:pPr>
        <w:pStyle w:val="ListBullet"/>
        <w:spacing w:after="50"/>
      </w:pPr>
      <w:r>
        <w:rPr>
          <w:rFonts w:ascii="Aptos" w:hAnsi="Aptos"/>
        </w:rPr>
        <w:t>How many regional FX calendars are needed at launch, and what qualifies a merchant for a premium/bespoke cutoff?</w:t>
      </w:r>
    </w:p>
    <w:p>
      <w:pPr>
        <w:pStyle w:val="ListBullet"/>
        <w:spacing w:after="50"/>
      </w:pPr>
      <w:r>
        <w:rPr>
          <w:rFonts w:ascii="Aptos" w:hAnsi="Aptos"/>
        </w:rPr>
        <w:t>At what event is a published daily rate financially binding for processing - publication, transaction capture, clearing eligibility or another event?</w:t>
      </w:r>
    </w:p>
    <w:p>
      <w:pPr>
        <w:pStyle w:val="ListBullet"/>
        <w:spacing w:after="50"/>
      </w:pPr>
      <w:r>
        <w:rPr>
          <w:rFonts w:ascii="Aptos" w:hAnsi="Aptos"/>
        </w:rPr>
        <w:t>Which extended currencies can receive a guaranteed unified JPMC rate versus indicative/pass-through treatment?</w:t>
      </w:r>
    </w:p>
    <w:p>
      <w:pPr>
        <w:pStyle w:val="ListBullet"/>
        <w:spacing w:after="50"/>
      </w:pPr>
      <w:r>
        <w:rPr>
          <w:rFonts w:ascii="Aptos" w:hAnsi="Aptos"/>
        </w:rPr>
        <w:t>What is the refund/reversal FX policy - original rate, current rate or program-specific treatment?</w:t>
      </w:r>
    </w:p>
    <w:p>
      <w:pPr>
        <w:pStyle w:val="ListBullet"/>
        <w:spacing w:after="50"/>
      </w:pPr>
      <w:r>
        <w:rPr>
          <w:rFonts w:ascii="Aptos" w:hAnsi="Aptos"/>
        </w:rPr>
        <w:t>What limits and fallback behavior apply if Visa, Mastercard or JPM FX source data is stale/unavailable?</w:t>
      </w:r>
    </w:p>
    <w:p>
      <w:pPr>
        <w:pStyle w:val="ListBullet"/>
        <w:spacing w:after="50"/>
      </w:pPr>
      <w:r>
        <w:rPr>
          <w:rFonts w:ascii="Aptos" w:hAnsi="Aptos"/>
        </w:rPr>
        <w:t>What information about source, markup and guarantee status is exposed externally versus retained for internal rate lineage and controls?</w:t>
      </w:r>
    </w:p>
    <w:p>
      <w:pPr>
        <w:pStyle w:val="Heading1"/>
      </w:pPr>
      <w:r>
        <w:t>13. Suggested Confluence Page Structure</w:t>
      </w:r>
    </w:p>
    <w:p>
      <w:r>
        <w:rPr>
          <w:rFonts w:ascii="Aptos" w:hAnsi="Aptos"/>
        </w:rPr>
        <w:t>This paper can be published as one page or decomposed into a small Confluence space. A practical split is: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52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Confluence page</w:t>
            </w:r>
          </w:p>
        </w:tc>
        <w:tc>
          <w:tcPr>
            <w:tcW w:type="dxa" w:w="669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Content from this paper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 FX Target-State Position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Executive position, context, design principles and decisions.</w:t>
            </w:r>
          </w:p>
        </w:tc>
      </w:tr>
      <w:tr>
        <w:tc>
          <w:tcPr>
            <w:tcW w:type="dxa" w:w="35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2. FX Product Capability Model</w:t>
            </w:r>
          </w:p>
        </w:tc>
        <w:tc>
          <w:tcPr>
            <w:tcW w:type="dxa" w:w="66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Six capability layers and target-state product scope.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3. FX Rate Programs &amp; Calendars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Legacy, regional, premium and on-demand quote programs; separation from Merchant EOD.</w:t>
            </w:r>
          </w:p>
        </w:tc>
      </w:tr>
      <w:tr>
        <w:tc>
          <w:tcPr>
            <w:tcW w:type="dxa" w:w="35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4. Unified JPMC Rate &amp; Risk</w:t>
            </w:r>
          </w:p>
        </w:tc>
        <w:tc>
          <w:tcPr>
            <w:tcW w:type="dxa" w:w="66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 rates, single merchant rate construct, risk types, exposure aggregation, P&amp;L and controls.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5. FX Rate Distribution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Legacy files, GET FX Rates API, POST FX Quote API and migration path.</w:t>
            </w:r>
          </w:p>
        </w:tc>
      </w:tr>
      <w:tr>
        <w:tc>
          <w:tcPr>
            <w:tcW w:type="dxa" w:w="35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6. Rate Books, Merchant Pricing &amp; File Generation</w:t>
            </w:r>
          </w:p>
        </w:tc>
        <w:tc>
          <w:tcPr>
            <w:tcW w:type="dxa" w:w="66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Reference/product/merchant hierarchy, standard pricing cohorts, route filtering and markup application.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7. Target Architecture &amp; Roadmap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Core objects, logical flow, delivery phases and open decisions.</w:t>
            </w:r>
          </w:p>
        </w:tc>
      </w:tr>
    </w:tbl>
    <w:p>
      <w:pPr>
        <w:spacing w:after="0"/>
      </w:pPr>
    </w:p>
    <w:p>
      <w:pPr>
        <w:pStyle w:val="Heading1"/>
      </w:pPr>
      <w:r>
        <w:t>14. Recommended Position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9F5EE"/>
          <w:left w:val="single" w:sz="0" w:space="0" w:color="E9F5EE"/>
          <w:bottom w:val="single" w:sz="0" w:space="0" w:color="E9F5EE"/>
          <w:right w:val="single" w:sz="0" w:space="0" w:color="E9F5EE"/>
          <w:insideH w:val="single" w:sz="0" w:space="0" w:color="E9F5EE"/>
          <w:insideV w:val="single" w:sz="0" w:space="0" w:color="E9F5EE"/>
        </w:tblBorders>
      </w:tblPr>
      <w:tblGrid>
        <w:gridCol w:w="10166"/>
      </w:tblGrid>
      <w:tr>
        <w:tc>
          <w:tcPr>
            <w:tcW w:type="dxa" w:w="10166"/>
            <w:shd w:fill="E9F5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  <w:spacing w:before="0" w:after="0"/>
            </w:pPr>
            <w:r>
              <w:rPr>
                <w:rFonts w:ascii="Aptos" w:hAnsi="Aptos"/>
                <w:b/>
                <w:color w:val="163A5F"/>
                <w:sz w:val="20"/>
              </w:rPr>
              <w:t>Build Commerce Platform FX as a hierarchical, versioned rate platform: normalize Visa, Mastercard and JPM FX source rates; apply a controlled FX Rate Program and JPMC pricing policy; manage the resulting source/timing risk centrally; and expose the same JPMC merchant rate through legacy files, GET FX Rates and future POST FX Quote APIs.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This approach preserves the current merchant experience where required, supports regional and premium rate windows without re-coupling FX to Merchant EOD, scales to a large standard-priced merchant population, and creates the foundation for a more dynamic API-native FX proposition over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>Working position paper - Product and architecture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6"/>
      </w:rPr>
      <w:t>Commerce Platform | FX Position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C5F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21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40"/>
    </w:pPr>
    <w:rPr>
      <w:rFonts w:ascii="Aptos" w:hAnsi="Aptos"/>
      <w:b/>
      <w:color w:val="163A5F"/>
      <w:sz w:val="21"/>
    </w:rPr>
  </w:style>
  <w:style w:type="paragraph" w:customStyle="1" w:styleId="Small">
    <w:name w:val="Small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