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D45C" w14:textId="77777777" w:rsidR="005E0DD9" w:rsidRDefault="005E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5F0F7775" w14:textId="77777777" w:rsidR="005E0DD9" w:rsidRDefault="005E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0"/>
      </w:tblGrid>
      <w:tr w:rsidR="005E0DD9" w14:paraId="5571F3D9" w14:textId="77777777">
        <w:tc>
          <w:tcPr>
            <w:tcW w:w="9070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440" w:type="dxa"/>
              <w:left w:w="360" w:type="dxa"/>
              <w:bottom w:w="440" w:type="dxa"/>
              <w:right w:w="360" w:type="dxa"/>
            </w:tcMar>
          </w:tcPr>
          <w:sdt>
            <w:sdtPr>
              <w:tag w:val="goog_rdk_1"/>
              <w:id w:val="-841819476"/>
              <w:lock w:val="contentLocked"/>
            </w:sdtPr>
            <w:sdtContent>
              <w:p w14:paraId="6F669985" w14:textId="77777777" w:rsidR="005E0DD9" w:rsidRDefault="00000000">
                <w:pPr>
                  <w:spacing w:after="60"/>
                </w:pPr>
                <w:r>
                  <w:rPr>
                    <w:b/>
                    <w:bCs/>
                    <w:color w:val="A8C4E0"/>
                    <w:sz w:val="18"/>
                    <w:szCs w:val="18"/>
                  </w:rPr>
                  <w:t>STATEMENT OF WORK</w:t>
                </w:r>
              </w:p>
              <w:p w14:paraId="4E1C713C" w14:textId="77777777" w:rsidR="005E0DD9" w:rsidRDefault="00000000">
                <w:pPr>
                  <w:spacing w:after="80"/>
                </w:pPr>
                <w:r>
                  <w:rPr>
                    <w:b/>
                    <w:bCs/>
                    <w:color w:val="FFFFFF"/>
                    <w:sz w:val="42"/>
                    <w:szCs w:val="42"/>
                  </w:rPr>
                  <w:t>Plataforma de Inteligência Operacional</w:t>
                </w:r>
              </w:p>
              <w:p w14:paraId="3430F69F" w14:textId="77777777" w:rsidR="005E0DD9" w:rsidRDefault="00000000">
                <w:sdt>
                  <w:sdtPr>
                    <w:tag w:val="goog_rdk_0"/>
                    <w:id w:val="30781742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8BB8D8"/>
                        <w:sz w:val="22"/>
                        <w:szCs w:val="22"/>
                      </w:rPr>
                      <w:t xml:space="preserve">Integração </w:t>
                    </w:r>
                    <w:proofErr w:type="gramStart"/>
                    <w:r>
                      <w:rPr>
                        <w:rFonts w:ascii="Arial Unicode MS" w:eastAsia="Arial Unicode MS" w:hAnsi="Arial Unicode MS" w:cs="Arial Unicode MS"/>
                        <w:color w:val="8BB8D8"/>
                        <w:sz w:val="22"/>
                        <w:szCs w:val="22"/>
                      </w:rPr>
                      <w:t>ERP  →</w:t>
                    </w:r>
                    <w:proofErr w:type="gramEnd"/>
                    <w:r>
                      <w:rPr>
                        <w:rFonts w:ascii="Arial Unicode MS" w:eastAsia="Arial Unicode MS" w:hAnsi="Arial Unicode MS" w:cs="Arial Unicode MS"/>
                        <w:color w:val="8BB8D8"/>
                        <w:sz w:val="22"/>
                        <w:szCs w:val="22"/>
                      </w:rPr>
                      <w:t xml:space="preserve">  Azure </w:t>
                    </w:r>
                    <w:proofErr w:type="gramStart"/>
                    <w:r>
                      <w:rPr>
                        <w:rFonts w:ascii="Arial Unicode MS" w:eastAsia="Arial Unicode MS" w:hAnsi="Arial Unicode MS" w:cs="Arial Unicode MS"/>
                        <w:color w:val="8BB8D8"/>
                        <w:sz w:val="22"/>
                        <w:szCs w:val="22"/>
                      </w:rPr>
                      <w:t>Cloud  →</w:t>
                    </w:r>
                    <w:proofErr w:type="gramEnd"/>
                    <w:r>
                      <w:rPr>
                        <w:rFonts w:ascii="Arial Unicode MS" w:eastAsia="Arial Unicode MS" w:hAnsi="Arial Unicode MS" w:cs="Arial Unicode MS"/>
                        <w:color w:val="8BB8D8"/>
                        <w:sz w:val="22"/>
                        <w:szCs w:val="22"/>
                      </w:rPr>
                      <w:t xml:space="preserve">  Power BI</w:t>
                    </w:r>
                  </w:sdtContent>
                </w:sdt>
              </w:p>
            </w:sdtContent>
          </w:sdt>
        </w:tc>
      </w:tr>
    </w:tbl>
    <w:p w14:paraId="0FA4AD9E" w14:textId="77777777" w:rsidR="005E0DD9" w:rsidRDefault="005E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0"/>
        <w:tblW w:w="91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95"/>
        <w:gridCol w:w="1905"/>
        <w:gridCol w:w="3030"/>
      </w:tblGrid>
      <w:tr w:rsidR="005E0DD9" w14:paraId="680F725D" w14:textId="77777777">
        <w:tc>
          <w:tcPr>
            <w:tcW w:w="41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BA53B73" w14:textId="77777777" w:rsidR="005E0DD9" w:rsidRDefault="00000000">
            <w:pPr>
              <w:spacing w:after="30"/>
            </w:pPr>
            <w:r>
              <w:rPr>
                <w:color w:val="8A97A4"/>
                <w:sz w:val="17"/>
                <w:szCs w:val="17"/>
              </w:rPr>
              <w:t>Cliente</w:t>
            </w:r>
          </w:p>
          <w:p w14:paraId="4CE67555" w14:textId="77777777" w:rsidR="005E0DD9" w:rsidRDefault="00000000">
            <w:r>
              <w:rPr>
                <w:b/>
                <w:bCs/>
                <w:sz w:val="20"/>
                <w:szCs w:val="20"/>
              </w:rPr>
              <w:t>Venda Mais Distribuidora Ltda.</w:t>
            </w:r>
          </w:p>
        </w:tc>
        <w:tc>
          <w:tcPr>
            <w:tcW w:w="190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300D74" w14:textId="77777777" w:rsidR="005E0DD9" w:rsidRDefault="00000000">
            <w:pPr>
              <w:spacing w:after="30"/>
            </w:pPr>
            <w:r>
              <w:rPr>
                <w:color w:val="8A97A4"/>
                <w:sz w:val="17"/>
                <w:szCs w:val="17"/>
              </w:rPr>
              <w:t>Referência</w:t>
            </w:r>
          </w:p>
          <w:p w14:paraId="0E80F13D" w14:textId="77777777" w:rsidR="005E0DD9" w:rsidRDefault="00000000">
            <w:r>
              <w:rPr>
                <w:b/>
                <w:bCs/>
                <w:sz w:val="20"/>
                <w:szCs w:val="20"/>
              </w:rPr>
              <w:t>SOW-2026-001</w:t>
            </w:r>
          </w:p>
        </w:tc>
        <w:tc>
          <w:tcPr>
            <w:tcW w:w="303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3B35953" w14:textId="77777777" w:rsidR="005E0DD9" w:rsidRDefault="00000000">
            <w:pPr>
              <w:spacing w:after="30"/>
            </w:pPr>
            <w:r>
              <w:rPr>
                <w:color w:val="8A97A4"/>
                <w:sz w:val="17"/>
                <w:szCs w:val="17"/>
              </w:rPr>
              <w:t>Data</w:t>
            </w:r>
          </w:p>
          <w:p w14:paraId="1276866B" w14:textId="77777777" w:rsidR="005E0DD9" w:rsidRDefault="00000000">
            <w:r>
              <w:rPr>
                <w:b/>
                <w:bCs/>
                <w:sz w:val="20"/>
                <w:szCs w:val="20"/>
              </w:rPr>
              <w:t>13 de março de 2026</w:t>
            </w:r>
          </w:p>
        </w:tc>
      </w:tr>
    </w:tbl>
    <w:p w14:paraId="33A33C2B" w14:textId="77777777" w:rsidR="005E0DD9" w:rsidRDefault="005E0DD9">
      <w:pPr>
        <w:spacing w:after="360"/>
      </w:pPr>
    </w:p>
    <w:p w14:paraId="1848040E" w14:textId="77777777" w:rsidR="005E0DD9" w:rsidRDefault="00000000">
      <w:pPr>
        <w:pBdr>
          <w:bottom w:val="single" w:sz="10" w:space="0" w:color="0F2B4C"/>
        </w:pBdr>
        <w:spacing w:before="400" w:after="160"/>
      </w:pPr>
      <w:r>
        <w:rPr>
          <w:b/>
          <w:bCs/>
          <w:color w:val="0F2B4C"/>
          <w:sz w:val="26"/>
          <w:szCs w:val="26"/>
        </w:rPr>
        <w:t>1. Partes Envolvidas</w:t>
      </w:r>
    </w:p>
    <w:tbl>
      <w:tblPr>
        <w:tblStyle w:val="a1"/>
        <w:tblW w:w="9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95"/>
        <w:gridCol w:w="4575"/>
      </w:tblGrid>
      <w:tr w:rsidR="005E0DD9" w14:paraId="29F6BC64" w14:textId="77777777">
        <w:tc>
          <w:tcPr>
            <w:tcW w:w="4495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D05D09" w14:textId="77777777" w:rsidR="005E0DD9" w:rsidRDefault="00000000">
            <w:r>
              <w:rPr>
                <w:b/>
                <w:bCs/>
                <w:color w:val="FFFFFF"/>
                <w:sz w:val="19"/>
                <w:szCs w:val="19"/>
              </w:rPr>
              <w:t>Contratante</w:t>
            </w:r>
          </w:p>
        </w:tc>
        <w:tc>
          <w:tcPr>
            <w:tcW w:w="4575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8DF4D7" w14:textId="77777777" w:rsidR="005E0DD9" w:rsidRDefault="00000000">
            <w:r>
              <w:rPr>
                <w:b/>
                <w:bCs/>
                <w:color w:val="FFFFFF"/>
                <w:sz w:val="19"/>
                <w:szCs w:val="19"/>
              </w:rPr>
              <w:t>Prestador de Serviço</w:t>
            </w:r>
          </w:p>
        </w:tc>
      </w:tr>
      <w:tr w:rsidR="005E0DD9" w14:paraId="1FD48FCA" w14:textId="77777777">
        <w:tc>
          <w:tcPr>
            <w:tcW w:w="44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9A60B76" w14:textId="77777777" w:rsidR="005E0DD9" w:rsidRDefault="00000000">
            <w:pPr>
              <w:spacing w:after="60"/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VendaMais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Distribuidora Ltda.</w:t>
            </w:r>
          </w:p>
          <w:p w14:paraId="7212A47A" w14:textId="77777777" w:rsidR="005E0DD9" w:rsidRDefault="00000000">
            <w:pPr>
              <w:spacing w:after="40"/>
            </w:pPr>
            <w:r>
              <w:rPr>
                <w:rFonts w:ascii="Georgia" w:eastAsia="Georgia" w:hAnsi="Georgia" w:cs="Georgia"/>
                <w:color w:val="5A6A7A"/>
                <w:sz w:val="19"/>
                <w:szCs w:val="19"/>
              </w:rPr>
              <w:t>CNPJ: 12.345.678/0001-99</w:t>
            </w:r>
          </w:p>
          <w:p w14:paraId="503CCAD7" w14:textId="77777777" w:rsidR="005E0DD9" w:rsidRDefault="00000000">
            <w:pPr>
              <w:spacing w:after="40"/>
            </w:pPr>
            <w:r>
              <w:rPr>
                <w:rFonts w:ascii="Georgia" w:eastAsia="Georgia" w:hAnsi="Georgia" w:cs="Georgia"/>
                <w:color w:val="5A6A7A"/>
                <w:sz w:val="19"/>
                <w:szCs w:val="19"/>
              </w:rPr>
              <w:t>Rua das Palmeiras, 1.200 — Joinville, SC</w:t>
            </w:r>
          </w:p>
          <w:p w14:paraId="473E70F2" w14:textId="77777777" w:rsidR="005E0DD9" w:rsidRDefault="00000000">
            <w:pPr>
              <w:spacing w:after="40"/>
            </w:pPr>
            <w:r>
              <w:rPr>
                <w:rFonts w:ascii="Georgia" w:eastAsia="Georgia" w:hAnsi="Georgia" w:cs="Georgia"/>
                <w:color w:val="5A6A7A"/>
                <w:sz w:val="19"/>
                <w:szCs w:val="19"/>
              </w:rPr>
              <w:t>Contato: Ricardo Mendes — CTO</w:t>
            </w:r>
          </w:p>
          <w:p w14:paraId="417FE1C2" w14:textId="77777777" w:rsidR="005E0DD9" w:rsidRDefault="00000000">
            <w:r>
              <w:rPr>
                <w:rFonts w:ascii="Georgia" w:eastAsia="Georgia" w:hAnsi="Georgia" w:cs="Georgia"/>
                <w:color w:val="0066CC"/>
                <w:sz w:val="19"/>
                <w:szCs w:val="19"/>
              </w:rPr>
              <w:t>ricardo.mendes@vendamais.com.br</w:t>
            </w:r>
          </w:p>
        </w:tc>
        <w:tc>
          <w:tcPr>
            <w:tcW w:w="457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204B441" w14:textId="77777777" w:rsidR="005E0DD9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Equipe de Desenvolvimento — Turma DAS II - Design e Arquitetura de Software II</w:t>
            </w:r>
          </w:p>
          <w:p w14:paraId="69840737" w14:textId="77777777" w:rsidR="005E0DD9" w:rsidRDefault="00000000">
            <w:pPr>
              <w:spacing w:after="40"/>
            </w:pPr>
            <w:r>
              <w:rPr>
                <w:rFonts w:ascii="Georgia" w:eastAsia="Georgia" w:hAnsi="Georgia" w:cs="Georgia"/>
                <w:color w:val="5A6A7A"/>
                <w:sz w:val="19"/>
                <w:szCs w:val="19"/>
              </w:rPr>
              <w:t>Orientação: Prof. Christiano Piccinin</w:t>
            </w:r>
          </w:p>
          <w:p w14:paraId="0915AE83" w14:textId="77777777" w:rsidR="005E0DD9" w:rsidRDefault="00000000">
            <w:r>
              <w:rPr>
                <w:rFonts w:ascii="Georgia" w:eastAsia="Georgia" w:hAnsi="Georgia" w:cs="Georgia"/>
                <w:color w:val="5A6A7A"/>
                <w:sz w:val="19"/>
                <w:szCs w:val="19"/>
              </w:rPr>
              <w:t xml:space="preserve">Joinville, </w:t>
            </w:r>
            <w:proofErr w:type="gramStart"/>
            <w:r>
              <w:rPr>
                <w:rFonts w:ascii="Georgia" w:eastAsia="Georgia" w:hAnsi="Georgia" w:cs="Georgia"/>
                <w:color w:val="5A6A7A"/>
                <w:sz w:val="19"/>
                <w:szCs w:val="19"/>
              </w:rPr>
              <w:t>SC  —</w:t>
            </w:r>
            <w:proofErr w:type="gramEnd"/>
            <w:r>
              <w:rPr>
                <w:rFonts w:ascii="Georgia" w:eastAsia="Georgia" w:hAnsi="Georgia" w:cs="Georgia"/>
                <w:color w:val="5A6A7A"/>
                <w:sz w:val="19"/>
                <w:szCs w:val="19"/>
              </w:rPr>
              <w:t xml:space="preserve">  2026/1</w:t>
            </w:r>
          </w:p>
        </w:tc>
      </w:tr>
    </w:tbl>
    <w:p w14:paraId="389CF4B3" w14:textId="77777777" w:rsidR="005E0DD9" w:rsidRDefault="00000000">
      <w:pPr>
        <w:pBdr>
          <w:bottom w:val="single" w:sz="10" w:space="0" w:color="0F2B4C"/>
        </w:pBdr>
        <w:spacing w:before="400" w:after="160"/>
      </w:pPr>
      <w:r>
        <w:rPr>
          <w:b/>
          <w:bCs/>
          <w:color w:val="0F2B4C"/>
          <w:sz w:val="26"/>
          <w:szCs w:val="26"/>
        </w:rPr>
        <w:t>2. Contexto e Problema de Negócio</w:t>
      </w:r>
    </w:p>
    <w:p w14:paraId="78645955" w14:textId="77777777" w:rsidR="005E0DD9" w:rsidRDefault="00000000">
      <w:pPr>
        <w:spacing w:before="240" w:after="80"/>
      </w:pPr>
      <w:r>
        <w:rPr>
          <w:b/>
          <w:bCs/>
          <w:color w:val="1A3A5C"/>
          <w:sz w:val="22"/>
          <w:szCs w:val="22"/>
        </w:rPr>
        <w:t>2.1 Sobre a empresa</w:t>
      </w:r>
    </w:p>
    <w:p w14:paraId="3CC3F7B5" w14:textId="77777777" w:rsidR="005E0DD9" w:rsidRDefault="00000000">
      <w:pPr>
        <w:spacing w:after="160"/>
      </w:pPr>
      <w:r>
        <w:rPr>
          <w:rFonts w:ascii="Georgia" w:eastAsia="Georgia" w:hAnsi="Georgia" w:cs="Georgia"/>
        </w:rPr>
        <w:t xml:space="preserve">A </w:t>
      </w:r>
      <w:proofErr w:type="spellStart"/>
      <w:r>
        <w:rPr>
          <w:rFonts w:ascii="Georgia" w:eastAsia="Georgia" w:hAnsi="Georgia" w:cs="Georgia"/>
        </w:rPr>
        <w:t>VendaMais</w:t>
      </w:r>
      <w:proofErr w:type="spellEnd"/>
      <w:r>
        <w:rPr>
          <w:rFonts w:ascii="Georgia" w:eastAsia="Georgia" w:hAnsi="Georgia" w:cs="Georgia"/>
        </w:rPr>
        <w:t xml:space="preserve"> Distribuidora Ltda. é uma empresa de médio porte do setor de distribuição de bens de consumo, com operações em quatro estados do Sul e Sudeste do Brasil. A empresa possui uma carteira ativa de aproximadamente 1.200 clientes, processa em torno de 3.500 pedidos por mês e conta com um quadro de 18 representantes comerciais distribuídos regionalmente.</w:t>
      </w:r>
    </w:p>
    <w:p w14:paraId="4502AEE6" w14:textId="77777777" w:rsidR="005E0DD9" w:rsidRDefault="00000000">
      <w:pPr>
        <w:spacing w:after="160"/>
      </w:pPr>
      <w:r>
        <w:rPr>
          <w:rFonts w:ascii="Georgia" w:eastAsia="Georgia" w:hAnsi="Georgia" w:cs="Georgia"/>
        </w:rPr>
        <w:t xml:space="preserve">Desde 2019, a </w:t>
      </w:r>
      <w:proofErr w:type="spellStart"/>
      <w:r>
        <w:rPr>
          <w:rFonts w:ascii="Georgia" w:eastAsia="Georgia" w:hAnsi="Georgia" w:cs="Georgia"/>
        </w:rPr>
        <w:t>VendaMais</w:t>
      </w:r>
      <w:proofErr w:type="spellEnd"/>
      <w:r>
        <w:rPr>
          <w:rFonts w:ascii="Georgia" w:eastAsia="Georgia" w:hAnsi="Georgia" w:cs="Georgia"/>
        </w:rPr>
        <w:t xml:space="preserve"> opera com um sistema ERP proprietário (módulos de Vendas, Estoque, Financeiro e Logística) que centraliza todas as transações operacionais. O sistema é estável e atende às necessidades transacionais do dia a dia; porém, sua camada de relatórios é limitada a exportações pontuais em planilhas Excel, exigindo esforço manual significativo e gerando inconsistências frequentes entre as áreas.</w:t>
      </w:r>
    </w:p>
    <w:p w14:paraId="12FC86B9" w14:textId="77777777" w:rsidR="005E0DD9" w:rsidRDefault="00000000">
      <w:pPr>
        <w:spacing w:before="240" w:after="80"/>
      </w:pPr>
      <w:r>
        <w:rPr>
          <w:b/>
          <w:bCs/>
          <w:color w:val="1A3A5C"/>
          <w:sz w:val="22"/>
          <w:szCs w:val="22"/>
        </w:rPr>
        <w:t>2.2 Problema identificado</w:t>
      </w:r>
    </w:p>
    <w:p w14:paraId="7CC92086" w14:textId="77777777" w:rsidR="005E0DD9" w:rsidRDefault="00000000">
      <w:pPr>
        <w:spacing w:after="160"/>
      </w:pPr>
      <w:r>
        <w:rPr>
          <w:rFonts w:ascii="Georgia" w:eastAsia="Georgia" w:hAnsi="Georgia" w:cs="Georgia"/>
        </w:rPr>
        <w:t>A liderança da empresa não possui visibilidade consolidada e em tempo próximo ao real sobre os principais indicadores operacionais e comerciais. As seguintes dificuldades foram documentadas em entrevistas com as áreas:</w:t>
      </w:r>
    </w:p>
    <w:p w14:paraId="4AF1B329" w14:textId="77777777" w:rsidR="005E0DD9" w:rsidRDefault="005E0DD9">
      <w:pPr>
        <w:spacing w:after="60"/>
      </w:pPr>
    </w:p>
    <w:tbl>
      <w:tblPr>
        <w:tblStyle w:val="a2"/>
        <w:tblW w:w="90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7"/>
        <w:gridCol w:w="6802"/>
      </w:tblGrid>
      <w:tr w:rsidR="005E0DD9" w14:paraId="04A11F5B" w14:textId="77777777">
        <w:tc>
          <w:tcPr>
            <w:tcW w:w="2267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72F6C0" w14:textId="77777777" w:rsidR="005E0DD9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6802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0E8D6" w14:textId="77777777" w:rsidR="005E0DD9" w:rsidRDefault="00000000">
            <w:r>
              <w:rPr>
                <w:b/>
                <w:bCs/>
                <w:color w:val="FFFFFF"/>
                <w:sz w:val="19"/>
                <w:szCs w:val="19"/>
              </w:rPr>
              <w:t>Dificuldade relatada</w:t>
            </w:r>
          </w:p>
        </w:tc>
      </w:tr>
      <w:tr w:rsidR="005E0DD9" w14:paraId="62F20EC3" w14:textId="77777777">
        <w:tc>
          <w:tcPr>
            <w:tcW w:w="22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3C8FB8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Comercial</w:t>
            </w:r>
          </w:p>
        </w:tc>
        <w:tc>
          <w:tcPr>
            <w:tcW w:w="68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625F63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>Sem visão consolidada de faturamento por representante, região e período. Relatórios mensais levam 2 dias úteis para serem compilados manualmente.</w:t>
            </w:r>
          </w:p>
        </w:tc>
      </w:tr>
      <w:tr w:rsidR="005E0DD9" w14:paraId="52007818" w14:textId="77777777">
        <w:tc>
          <w:tcPr>
            <w:tcW w:w="22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2D38B6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Estoque</w:t>
            </w:r>
          </w:p>
        </w:tc>
        <w:tc>
          <w:tcPr>
            <w:tcW w:w="68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59136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>Ruptura e excesso de itens identificados apenas na contagem física quinzenal. Não há alerta automático de ponto de reposição.</w:t>
            </w:r>
          </w:p>
        </w:tc>
      </w:tr>
      <w:tr w:rsidR="005E0DD9" w14:paraId="69CA5424" w14:textId="77777777">
        <w:tc>
          <w:tcPr>
            <w:tcW w:w="22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0C0263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lastRenderedPageBreak/>
              <w:t>Financeiro</w:t>
            </w:r>
          </w:p>
        </w:tc>
        <w:tc>
          <w:tcPr>
            <w:tcW w:w="68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48FB8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>Inadimplência calculada manualmente em planilhas desatualizadas. Dificuldade para cruzar recebíveis com desempenho de vendas por cliente.</w:t>
            </w:r>
          </w:p>
        </w:tc>
      </w:tr>
      <w:tr w:rsidR="005E0DD9" w14:paraId="173692CB" w14:textId="77777777">
        <w:tc>
          <w:tcPr>
            <w:tcW w:w="22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0AE22A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Logística</w:t>
            </w:r>
          </w:p>
        </w:tc>
        <w:tc>
          <w:tcPr>
            <w:tcW w:w="68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932D1D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>Atrasos de entrega detectados somente após reclamação do cliente. Não existe painel de acompanhamento de status de pedidos em aberto.</w:t>
            </w:r>
          </w:p>
        </w:tc>
      </w:tr>
      <w:tr w:rsidR="005E0DD9" w14:paraId="0DC3F88D" w14:textId="77777777">
        <w:tc>
          <w:tcPr>
            <w:tcW w:w="22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A46BF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Diretoria</w:t>
            </w:r>
          </w:p>
        </w:tc>
        <w:tc>
          <w:tcPr>
            <w:tcW w:w="68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68CE6C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>Tomada de decisão baseada em dados com até 30 dias de defasagem. Ausência de KPIs executivos em formato visual para reuniões de resultado.</w:t>
            </w:r>
          </w:p>
        </w:tc>
      </w:tr>
    </w:tbl>
    <w:p w14:paraId="3223019B" w14:textId="77777777" w:rsidR="005E0DD9" w:rsidRDefault="005E0DD9">
      <w:pPr>
        <w:spacing w:after="160"/>
      </w:pPr>
    </w:p>
    <w:p w14:paraId="04015C9F" w14:textId="77777777" w:rsidR="005E0DD9" w:rsidRDefault="00000000">
      <w:pPr>
        <w:spacing w:after="160"/>
      </w:pPr>
      <w:r>
        <w:rPr>
          <w:rFonts w:ascii="Georgia" w:eastAsia="Georgia" w:hAnsi="Georgia" w:cs="Georgia"/>
        </w:rPr>
        <w:t>O impacto direto estimado dessas deficiências inclui perda de oportunidades de venda por ruptura de estoque, custo operacional elevado na geração manual de relatórios e decisões estratégicas tomadas com dados desatualizados.</w:t>
      </w:r>
    </w:p>
    <w:p w14:paraId="434AF3E9" w14:textId="77777777" w:rsidR="005E0DD9" w:rsidRDefault="00000000">
      <w:pPr>
        <w:pBdr>
          <w:bottom w:val="single" w:sz="10" w:space="0" w:color="0F2B4C"/>
        </w:pBdr>
        <w:spacing w:before="400" w:after="160"/>
      </w:pPr>
      <w:r>
        <w:rPr>
          <w:b/>
          <w:bCs/>
          <w:color w:val="0F2B4C"/>
          <w:sz w:val="26"/>
          <w:szCs w:val="26"/>
        </w:rPr>
        <w:t>3. Objetivo do Projeto</w:t>
      </w:r>
    </w:p>
    <w:p w14:paraId="2D7C1BAB" w14:textId="77777777" w:rsidR="005E0DD9" w:rsidRDefault="00000000">
      <w:pPr>
        <w:spacing w:after="160"/>
      </w:pPr>
      <w:r>
        <w:rPr>
          <w:rFonts w:ascii="Georgia" w:eastAsia="Georgia" w:hAnsi="Georgia" w:cs="Georgia"/>
        </w:rPr>
        <w:t xml:space="preserve">O objetivo deste projeto é projetar, desenvolver e entregar uma Plataforma de Inteligência Operacional que automatize a extração de dados do ERP da </w:t>
      </w:r>
      <w:proofErr w:type="spellStart"/>
      <w:r>
        <w:rPr>
          <w:rFonts w:ascii="Georgia" w:eastAsia="Georgia" w:hAnsi="Georgia" w:cs="Georgia"/>
        </w:rPr>
        <w:t>VendaMais</w:t>
      </w:r>
      <w:proofErr w:type="spellEnd"/>
      <w:r>
        <w:rPr>
          <w:rFonts w:ascii="Georgia" w:eastAsia="Georgia" w:hAnsi="Georgia" w:cs="Georgia"/>
        </w:rPr>
        <w:t>, armazene essas informações em um repositório centralizado na nuvem, aplique transformações necessárias para garantir qualidade e consistência, e disponibilize dashboards interativos para as áreas de negócio.</w:t>
      </w:r>
    </w:p>
    <w:p w14:paraId="0D3E49CA" w14:textId="77777777" w:rsidR="005E0DD9" w:rsidRDefault="00000000">
      <w:pPr>
        <w:spacing w:after="160"/>
      </w:pPr>
      <w:r>
        <w:rPr>
          <w:rFonts w:ascii="Georgia" w:eastAsia="Georgia" w:hAnsi="Georgia" w:cs="Georgia"/>
        </w:rPr>
        <w:t xml:space="preserve">Ao final do projeto, a </w:t>
      </w:r>
      <w:proofErr w:type="spellStart"/>
      <w:r>
        <w:rPr>
          <w:rFonts w:ascii="Georgia" w:eastAsia="Georgia" w:hAnsi="Georgia" w:cs="Georgia"/>
        </w:rPr>
        <w:t>VendaMais</w:t>
      </w:r>
      <w:proofErr w:type="spellEnd"/>
      <w:r>
        <w:rPr>
          <w:rFonts w:ascii="Georgia" w:eastAsia="Georgia" w:hAnsi="Georgia" w:cs="Georgia"/>
        </w:rPr>
        <w:t xml:space="preserve"> deverá ser capaz de consultar seus principais indicadores operacionais com defasagem máxima de 24 horas em relação à origem dos dados, sem intervenção manual.</w:t>
      </w:r>
    </w:p>
    <w:p w14:paraId="29A1759E" w14:textId="77777777" w:rsidR="005E0DD9" w:rsidRDefault="005E0DD9">
      <w:pPr>
        <w:spacing w:after="80"/>
      </w:pPr>
    </w:p>
    <w:tbl>
      <w:tblPr>
        <w:tblStyle w:val="a3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8370"/>
      </w:tblGrid>
      <w:tr w:rsidR="005E0DD9" w14:paraId="72321A97" w14:textId="77777777">
        <w:tc>
          <w:tcPr>
            <w:tcW w:w="690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322A00D2" w14:textId="77777777" w:rsidR="005E0D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OBJ-01</w:t>
            </w:r>
          </w:p>
        </w:tc>
        <w:tc>
          <w:tcPr>
            <w:tcW w:w="83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6E4AA3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>Automatizar a extração diária de dados transacionais do ERP (vendas, estoque, financeiro, logística).</w:t>
            </w:r>
          </w:p>
        </w:tc>
      </w:tr>
      <w:tr w:rsidR="005E0DD9" w14:paraId="433F619C" w14:textId="77777777">
        <w:tc>
          <w:tcPr>
            <w:tcW w:w="690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1A3A5C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073308B9" w14:textId="77777777" w:rsidR="005E0D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OBJ-02</w:t>
            </w:r>
          </w:p>
        </w:tc>
        <w:tc>
          <w:tcPr>
            <w:tcW w:w="83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AFB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E24A0B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>Persistir os dados extraídos em armazenamento estruturado na nuvem Azure, garantindo rastreabilidade e histórico.</w:t>
            </w:r>
          </w:p>
        </w:tc>
      </w:tr>
      <w:tr w:rsidR="005E0DD9" w14:paraId="4C566452" w14:textId="77777777">
        <w:tc>
          <w:tcPr>
            <w:tcW w:w="690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719080CD" w14:textId="77777777" w:rsidR="005E0D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OBJ-03</w:t>
            </w:r>
          </w:p>
        </w:tc>
        <w:tc>
          <w:tcPr>
            <w:tcW w:w="83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AA1E3A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>Aplicar transformações e regras de negócio que produzam tabelas analíticas limpas e confiáveis.</w:t>
            </w:r>
          </w:p>
        </w:tc>
      </w:tr>
      <w:tr w:rsidR="005E0DD9" w14:paraId="2E09D616" w14:textId="77777777">
        <w:tc>
          <w:tcPr>
            <w:tcW w:w="690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1A3A5C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2953820B" w14:textId="77777777" w:rsidR="005E0DD9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OBJ-04</w:t>
            </w:r>
          </w:p>
        </w:tc>
        <w:tc>
          <w:tcPr>
            <w:tcW w:w="83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AFB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B0BB30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>Disponibilizar dashboards em Power BI com os KPIs prioritários de cada área.</w:t>
            </w:r>
          </w:p>
        </w:tc>
      </w:tr>
      <w:tr w:rsidR="005E0DD9" w14:paraId="6B70450C" w14:textId="77777777">
        <w:tc>
          <w:tcPr>
            <w:tcW w:w="690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4A66E5EE" w14:textId="77777777" w:rsidR="005E0DD9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OBJ-05</w:t>
            </w:r>
          </w:p>
        </w:tc>
        <w:tc>
          <w:tcPr>
            <w:tcW w:w="83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8FB06D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>Documentar toda a solução — arquitetura, decisões técnicas e manual de operação — de forma que a equipe interna possa dar manutenção.</w:t>
            </w:r>
          </w:p>
        </w:tc>
      </w:tr>
    </w:tbl>
    <w:p w14:paraId="4D15DC70" w14:textId="77777777" w:rsidR="005E0DD9" w:rsidRDefault="00000000">
      <w:pPr>
        <w:pBdr>
          <w:bottom w:val="single" w:sz="10" w:space="0" w:color="0F2B4C"/>
        </w:pBdr>
        <w:spacing w:before="400" w:after="160"/>
      </w:pPr>
      <w:r>
        <w:rPr>
          <w:b/>
          <w:bCs/>
          <w:color w:val="0F2B4C"/>
          <w:sz w:val="26"/>
          <w:szCs w:val="26"/>
        </w:rPr>
        <w:t>4. Escopo da Solução</w:t>
      </w:r>
    </w:p>
    <w:p w14:paraId="5AB690EC" w14:textId="77777777" w:rsidR="005E0DD9" w:rsidRDefault="00000000">
      <w:pPr>
        <w:spacing w:before="240" w:after="80"/>
      </w:pPr>
      <w:r>
        <w:rPr>
          <w:b/>
          <w:bCs/>
          <w:color w:val="1A3A5C"/>
          <w:sz w:val="22"/>
          <w:szCs w:val="22"/>
        </w:rPr>
        <w:t>4.1 Visão geral da arquitetura</w:t>
      </w:r>
    </w:p>
    <w:p w14:paraId="28E29E94" w14:textId="77777777" w:rsidR="005E0DD9" w:rsidRDefault="00000000">
      <w:pPr>
        <w:spacing w:after="160"/>
      </w:pPr>
      <w:sdt>
        <w:sdtPr>
          <w:tag w:val="goog_rdk_2"/>
          <w:id w:val="-1544841760"/>
        </w:sdtPr>
        <w:sdtContent>
          <w:r>
            <w:rPr>
              <w:rFonts w:ascii="Cardo" w:eastAsia="Cardo" w:hAnsi="Cardo" w:cs="Cardo"/>
            </w:rPr>
            <w:t>A solução adota uma arquitetura em camadas sobre a plataforma Microsoft Azure, seguindo o padrão de pipeline de dados: Ingestão → Armazenamento → Transformação → Consumo. Cada camada é implementada com um serviço Azure específico, conforme descrito abaixo.</w:t>
          </w:r>
        </w:sdtContent>
      </w:sdt>
    </w:p>
    <w:p w14:paraId="18EA5C60" w14:textId="77777777" w:rsidR="005E0DD9" w:rsidRDefault="005E0DD9">
      <w:pPr>
        <w:spacing w:after="80"/>
      </w:pPr>
    </w:p>
    <w:tbl>
      <w:tblPr>
        <w:tblStyle w:val="a4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"/>
        <w:gridCol w:w="2070"/>
        <w:gridCol w:w="2325"/>
        <w:gridCol w:w="4455"/>
      </w:tblGrid>
      <w:tr w:rsidR="005E0DD9" w14:paraId="53A18EE9" w14:textId="77777777">
        <w:tc>
          <w:tcPr>
            <w:tcW w:w="225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E682B9" w14:textId="77777777" w:rsidR="005E0DD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70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1E7B9" w14:textId="77777777" w:rsidR="005E0DD9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2325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36912" w14:textId="77777777" w:rsidR="005E0DD9" w:rsidRDefault="00000000">
            <w:r>
              <w:rPr>
                <w:b/>
                <w:bCs/>
                <w:color w:val="FFFFFF"/>
                <w:sz w:val="18"/>
                <w:szCs w:val="18"/>
              </w:rPr>
              <w:t>Serviço Azure</w:t>
            </w:r>
          </w:p>
        </w:tc>
        <w:tc>
          <w:tcPr>
            <w:tcW w:w="4455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2883E" w14:textId="77777777" w:rsidR="005E0DD9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5E0DD9" w14:paraId="7D135FAE" w14:textId="77777777">
        <w:tc>
          <w:tcPr>
            <w:tcW w:w="2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7F4590F" w14:textId="77777777" w:rsidR="005E0DD9" w:rsidRDefault="00000000">
            <w:pPr>
              <w:jc w:val="center"/>
            </w:pPr>
            <w:r>
              <w:rPr>
                <w:b/>
                <w:bCs/>
                <w:color w:val="0066CC"/>
                <w:sz w:val="19"/>
                <w:szCs w:val="19"/>
              </w:rPr>
              <w:t>1</w:t>
            </w:r>
          </w:p>
        </w:tc>
        <w:tc>
          <w:tcPr>
            <w:tcW w:w="20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097B2C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Ingestão</w:t>
            </w:r>
          </w:p>
        </w:tc>
        <w:tc>
          <w:tcPr>
            <w:tcW w:w="23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C74863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Georgia" w:eastAsia="Georgia" w:hAnsi="Georgia" w:cs="Georgia"/>
                <w:sz w:val="19"/>
                <w:szCs w:val="19"/>
              </w:rPr>
              <w:t>Functions</w:t>
            </w:r>
            <w:proofErr w:type="spellEnd"/>
            <w:r>
              <w:rPr>
                <w:rFonts w:ascii="Georgia" w:eastAsia="Georgia" w:hAnsi="Georgia" w:cs="Georgia"/>
                <w:sz w:val="19"/>
                <w:szCs w:val="19"/>
              </w:rPr>
              <w:t xml:space="preserve"> (Python)</w:t>
            </w:r>
          </w:p>
        </w:tc>
        <w:tc>
          <w:tcPr>
            <w:tcW w:w="44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30CC1E" w14:textId="77777777" w:rsidR="005E0DD9" w:rsidRDefault="00000000"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 xml:space="preserve">Função </w:t>
            </w:r>
            <w:proofErr w:type="spellStart"/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>serverless</w:t>
            </w:r>
            <w:proofErr w:type="spellEnd"/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 xml:space="preserve"> acionada por timer (schedule) que conecta na API/banco do ERP, extrai os registros do dia e deposita os arquivos no </w:t>
            </w:r>
            <w:proofErr w:type="spellStart"/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>Storage</w:t>
            </w:r>
            <w:proofErr w:type="spellEnd"/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>.</w:t>
            </w:r>
          </w:p>
        </w:tc>
      </w:tr>
      <w:tr w:rsidR="005E0DD9" w14:paraId="40E31D5C" w14:textId="77777777">
        <w:tc>
          <w:tcPr>
            <w:tcW w:w="2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B4A8CAC" w14:textId="77777777" w:rsidR="005E0DD9" w:rsidRDefault="00000000">
            <w:pPr>
              <w:jc w:val="center"/>
            </w:pPr>
            <w:r>
              <w:rPr>
                <w:b/>
                <w:bCs/>
                <w:color w:val="0066CC"/>
                <w:sz w:val="19"/>
                <w:szCs w:val="19"/>
              </w:rPr>
              <w:lastRenderedPageBreak/>
              <w:t>2</w:t>
            </w:r>
          </w:p>
        </w:tc>
        <w:tc>
          <w:tcPr>
            <w:tcW w:w="20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038312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Armazenamento</w:t>
            </w:r>
          </w:p>
        </w:tc>
        <w:tc>
          <w:tcPr>
            <w:tcW w:w="23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C80242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Georgia" w:eastAsia="Georgia" w:hAnsi="Georgia" w:cs="Georgia"/>
                <w:sz w:val="19"/>
                <w:szCs w:val="19"/>
              </w:rPr>
              <w:t>Blob</w:t>
            </w:r>
            <w:proofErr w:type="spellEnd"/>
            <w:r>
              <w:rPr>
                <w:rFonts w:ascii="Georgia" w:eastAsia="Georgia" w:hAnsi="Georgia" w:cs="Georgi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sz w:val="19"/>
                <w:szCs w:val="19"/>
              </w:rPr>
              <w:t>Storage</w:t>
            </w:r>
            <w:proofErr w:type="spellEnd"/>
          </w:p>
        </w:tc>
        <w:tc>
          <w:tcPr>
            <w:tcW w:w="44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0B8B12" w14:textId="77777777" w:rsidR="005E0DD9" w:rsidRDefault="00000000"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 xml:space="preserve">Repositório de arquivos brutos (camada </w:t>
            </w:r>
            <w:proofErr w:type="spellStart"/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>raw</w:t>
            </w:r>
            <w:proofErr w:type="spellEnd"/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 xml:space="preserve">) e processados (camada </w:t>
            </w:r>
            <w:proofErr w:type="spellStart"/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>curated</w:t>
            </w:r>
            <w:proofErr w:type="spellEnd"/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>), organizados por data de extração.</w:t>
            </w:r>
          </w:p>
        </w:tc>
      </w:tr>
      <w:tr w:rsidR="005E0DD9" w14:paraId="68B5736D" w14:textId="77777777">
        <w:tc>
          <w:tcPr>
            <w:tcW w:w="2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3EA3ADF" w14:textId="77777777" w:rsidR="005E0DD9" w:rsidRDefault="00000000">
            <w:pPr>
              <w:jc w:val="center"/>
            </w:pPr>
            <w:r>
              <w:rPr>
                <w:b/>
                <w:bCs/>
                <w:color w:val="0066CC"/>
                <w:sz w:val="19"/>
                <w:szCs w:val="19"/>
              </w:rPr>
              <w:t>3</w:t>
            </w:r>
          </w:p>
        </w:tc>
        <w:tc>
          <w:tcPr>
            <w:tcW w:w="20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E15ECB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Banco de Dados</w:t>
            </w:r>
          </w:p>
        </w:tc>
        <w:tc>
          <w:tcPr>
            <w:tcW w:w="23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FE6D28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 xml:space="preserve">Azure SQL </w:t>
            </w:r>
            <w:proofErr w:type="spellStart"/>
            <w:r>
              <w:rPr>
                <w:rFonts w:ascii="Georgia" w:eastAsia="Georgia" w:hAnsi="Georgia" w:cs="Georgia"/>
                <w:sz w:val="19"/>
                <w:szCs w:val="19"/>
              </w:rPr>
              <w:t>Database</w:t>
            </w:r>
            <w:proofErr w:type="spellEnd"/>
          </w:p>
        </w:tc>
        <w:tc>
          <w:tcPr>
            <w:tcW w:w="44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AE8872" w14:textId="77777777" w:rsidR="005E0DD9" w:rsidRDefault="00000000"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>Tabelas relacionais que armazenam os dados já tratados e normalizados, servindo como fonte única de verdade para os relatórios.</w:t>
            </w:r>
          </w:p>
        </w:tc>
      </w:tr>
      <w:tr w:rsidR="005E0DD9" w14:paraId="1EB1BD01" w14:textId="77777777">
        <w:tc>
          <w:tcPr>
            <w:tcW w:w="2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419F9A9" w14:textId="77777777" w:rsidR="005E0DD9" w:rsidRDefault="00000000">
            <w:pPr>
              <w:jc w:val="center"/>
            </w:pPr>
            <w:r>
              <w:rPr>
                <w:b/>
                <w:bCs/>
                <w:color w:val="0066CC"/>
                <w:sz w:val="19"/>
                <w:szCs w:val="19"/>
              </w:rPr>
              <w:t>4</w:t>
            </w:r>
          </w:p>
        </w:tc>
        <w:tc>
          <w:tcPr>
            <w:tcW w:w="20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8B92CC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Transformação</w:t>
            </w:r>
          </w:p>
        </w:tc>
        <w:tc>
          <w:tcPr>
            <w:tcW w:w="23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8B841C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Georgia" w:eastAsia="Georgia" w:hAnsi="Georgia" w:cs="Georgia"/>
                <w:sz w:val="19"/>
                <w:szCs w:val="19"/>
              </w:rPr>
              <w:t>Functions</w:t>
            </w:r>
            <w:proofErr w:type="spellEnd"/>
            <w:r>
              <w:rPr>
                <w:rFonts w:ascii="Georgia" w:eastAsia="Georgia" w:hAnsi="Georgia" w:cs="Georgia"/>
                <w:sz w:val="19"/>
                <w:szCs w:val="19"/>
              </w:rPr>
              <w:t xml:space="preserve"> (Python)</w:t>
            </w:r>
          </w:p>
        </w:tc>
        <w:tc>
          <w:tcPr>
            <w:tcW w:w="44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580481" w14:textId="77777777" w:rsidR="005E0DD9" w:rsidRDefault="00000000"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 xml:space="preserve">Segunda função responsável por ler os arquivos brutos do </w:t>
            </w:r>
            <w:proofErr w:type="spellStart"/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>Storage</w:t>
            </w:r>
            <w:proofErr w:type="spellEnd"/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>, aplicar regras de limpeza e negócio, e popular o Azure SQL.</w:t>
            </w:r>
          </w:p>
        </w:tc>
      </w:tr>
      <w:tr w:rsidR="005E0DD9" w14:paraId="571B308B" w14:textId="77777777">
        <w:tc>
          <w:tcPr>
            <w:tcW w:w="2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3AC97D2" w14:textId="77777777" w:rsidR="005E0DD9" w:rsidRDefault="00000000">
            <w:pPr>
              <w:jc w:val="center"/>
            </w:pPr>
            <w:r>
              <w:rPr>
                <w:b/>
                <w:bCs/>
                <w:color w:val="0066CC"/>
                <w:sz w:val="19"/>
                <w:szCs w:val="19"/>
              </w:rPr>
              <w:t>5</w:t>
            </w:r>
          </w:p>
        </w:tc>
        <w:tc>
          <w:tcPr>
            <w:tcW w:w="20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491F91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Consumo</w:t>
            </w:r>
          </w:p>
        </w:tc>
        <w:tc>
          <w:tcPr>
            <w:tcW w:w="23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4CD412" w14:textId="77777777" w:rsidR="005E0DD9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 xml:space="preserve">Power BI </w:t>
            </w:r>
          </w:p>
        </w:tc>
        <w:tc>
          <w:tcPr>
            <w:tcW w:w="44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707A93" w14:textId="77777777" w:rsidR="005E0DD9" w:rsidRDefault="00000000">
            <w:r>
              <w:rPr>
                <w:rFonts w:ascii="Georgia" w:eastAsia="Georgia" w:hAnsi="Georgia" w:cs="Georgia"/>
                <w:color w:val="5A6A7A"/>
                <w:sz w:val="18"/>
                <w:szCs w:val="18"/>
              </w:rPr>
              <w:t>Dashboards publicados no Power BI Service, conectados ao Azure SQL, com atualização automática diária.</w:t>
            </w:r>
          </w:p>
        </w:tc>
      </w:tr>
    </w:tbl>
    <w:p w14:paraId="492227DA" w14:textId="77777777" w:rsidR="005E0DD9" w:rsidRDefault="005E0DD9">
      <w:pPr>
        <w:spacing w:after="200"/>
      </w:pPr>
    </w:p>
    <w:p w14:paraId="3E5FAA7D" w14:textId="77777777" w:rsidR="005E0DD9" w:rsidRDefault="00000000">
      <w:pPr>
        <w:spacing w:before="240" w:after="80"/>
      </w:pPr>
      <w:r>
        <w:rPr>
          <w:b/>
          <w:bCs/>
          <w:color w:val="1A3A5C"/>
          <w:sz w:val="22"/>
          <w:szCs w:val="22"/>
        </w:rPr>
        <w:t>4.2 Módulos de dados</w:t>
      </w:r>
    </w:p>
    <w:p w14:paraId="771C6482" w14:textId="77777777" w:rsidR="005E0DD9" w:rsidRDefault="00000000">
      <w:pPr>
        <w:spacing w:after="160"/>
      </w:pPr>
      <w:r>
        <w:rPr>
          <w:rFonts w:ascii="Georgia" w:eastAsia="Georgia" w:hAnsi="Georgia" w:cs="Georgia"/>
        </w:rPr>
        <w:t>A primeira versão da plataforma contemplará os seguintes módulos de dados, mapeados diretamente às dores identificadas na seção 2.2:</w:t>
      </w:r>
    </w:p>
    <w:p w14:paraId="1748CD09" w14:textId="77777777" w:rsidR="005E0DD9" w:rsidRDefault="005E0DD9">
      <w:pPr>
        <w:spacing w:after="60"/>
      </w:pPr>
    </w:p>
    <w:tbl>
      <w:tblPr>
        <w:tblStyle w:val="a5"/>
        <w:tblW w:w="90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3628"/>
        <w:gridCol w:w="3446"/>
      </w:tblGrid>
      <w:tr w:rsidR="005E0DD9" w14:paraId="122C4DFA" w14:textId="77777777">
        <w:tc>
          <w:tcPr>
            <w:tcW w:w="1995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EE84D8" w14:textId="77777777" w:rsidR="005E0DD9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3628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B439B" w14:textId="77777777" w:rsidR="005E0DD9" w:rsidRDefault="00000000">
            <w:r>
              <w:rPr>
                <w:b/>
                <w:bCs/>
                <w:color w:val="FFFFFF"/>
                <w:sz w:val="18"/>
                <w:szCs w:val="18"/>
              </w:rPr>
              <w:t>Dados extraídos do ERP</w:t>
            </w:r>
          </w:p>
        </w:tc>
        <w:tc>
          <w:tcPr>
            <w:tcW w:w="3446" w:type="dxa"/>
            <w:tcBorders>
              <w:top w:val="single" w:sz="4" w:space="0" w:color="0F2B4C"/>
              <w:left w:val="single" w:sz="4" w:space="0" w:color="0F2B4C"/>
              <w:bottom w:val="single" w:sz="4" w:space="0" w:color="0F2B4C"/>
              <w:right w:val="single" w:sz="4" w:space="0" w:color="0F2B4C"/>
            </w:tcBorders>
            <w:shd w:val="clear" w:color="auto" w:fill="0F2B4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0D9C26" w14:textId="77777777" w:rsidR="005E0DD9" w:rsidRDefault="00000000">
            <w:r>
              <w:rPr>
                <w:b/>
                <w:bCs/>
                <w:color w:val="FFFFFF"/>
                <w:sz w:val="18"/>
                <w:szCs w:val="18"/>
              </w:rPr>
              <w:t>KPIs entregues no dashboard</w:t>
            </w:r>
          </w:p>
        </w:tc>
      </w:tr>
      <w:tr w:rsidR="005E0DD9" w14:paraId="372BD35E" w14:textId="77777777">
        <w:tc>
          <w:tcPr>
            <w:tcW w:w="19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B82013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Vendas</w:t>
            </w:r>
          </w:p>
        </w:tc>
        <w:tc>
          <w:tcPr>
            <w:tcW w:w="36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B351D7" w14:textId="77777777" w:rsidR="005E0DD9" w:rsidRDefault="00000000">
            <w:r>
              <w:rPr>
                <w:rFonts w:ascii="Georgia" w:eastAsia="Georgia" w:hAnsi="Georgia" w:cs="Georgia"/>
                <w:sz w:val="18"/>
                <w:szCs w:val="18"/>
              </w:rPr>
              <w:t>Pedidos, itens, clientes, representantes, regiões, datas de emissão e faturamento</w:t>
            </w:r>
          </w:p>
        </w:tc>
        <w:tc>
          <w:tcPr>
            <w:tcW w:w="3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579640" w14:textId="77777777" w:rsidR="005E0DD9" w:rsidRDefault="00000000">
            <w:r>
              <w:rPr>
                <w:rFonts w:ascii="Georgia" w:eastAsia="Georgia" w:hAnsi="Georgia" w:cs="Georgia"/>
                <w:sz w:val="18"/>
                <w:szCs w:val="18"/>
              </w:rPr>
              <w:t>Faturamento total / por período / por representante, ticket médio, ranking de clientes, evolução mensal</w:t>
            </w:r>
          </w:p>
        </w:tc>
      </w:tr>
      <w:tr w:rsidR="005E0DD9" w14:paraId="5A4D7AF2" w14:textId="77777777">
        <w:tc>
          <w:tcPr>
            <w:tcW w:w="19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886E1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Estoque</w:t>
            </w:r>
          </w:p>
        </w:tc>
        <w:tc>
          <w:tcPr>
            <w:tcW w:w="36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3B3564" w14:textId="77777777" w:rsidR="005E0DD9" w:rsidRDefault="00000000">
            <w:r>
              <w:rPr>
                <w:rFonts w:ascii="Georgia" w:eastAsia="Georgia" w:hAnsi="Georgia" w:cs="Georgia"/>
                <w:sz w:val="18"/>
                <w:szCs w:val="18"/>
              </w:rPr>
              <w:t>Saldo por SKU, movimentações de entrada e saída, ponto de reposição configurado</w:t>
            </w:r>
          </w:p>
        </w:tc>
        <w:tc>
          <w:tcPr>
            <w:tcW w:w="3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7BF407" w14:textId="77777777" w:rsidR="005E0DD9" w:rsidRDefault="00000000">
            <w:r>
              <w:rPr>
                <w:rFonts w:ascii="Georgia" w:eastAsia="Georgia" w:hAnsi="Georgia" w:cs="Georgia"/>
                <w:sz w:val="18"/>
                <w:szCs w:val="18"/>
              </w:rPr>
              <w:t>Cobertura de estoque em dias, itens abaixo do ponto de reposição, giro por categoria</w:t>
            </w:r>
          </w:p>
        </w:tc>
      </w:tr>
      <w:tr w:rsidR="005E0DD9" w14:paraId="642268B1" w14:textId="77777777">
        <w:tc>
          <w:tcPr>
            <w:tcW w:w="19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727DEA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Financeiro</w:t>
            </w:r>
          </w:p>
        </w:tc>
        <w:tc>
          <w:tcPr>
            <w:tcW w:w="36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555857" w14:textId="77777777" w:rsidR="005E0DD9" w:rsidRDefault="00000000">
            <w:r>
              <w:rPr>
                <w:rFonts w:ascii="Georgia" w:eastAsia="Georgia" w:hAnsi="Georgia" w:cs="Georgia"/>
                <w:sz w:val="18"/>
                <w:szCs w:val="18"/>
              </w:rPr>
              <w:t>Títulos a receber, datas de vencimento e pagamento, valor e cliente</w:t>
            </w:r>
          </w:p>
        </w:tc>
        <w:tc>
          <w:tcPr>
            <w:tcW w:w="3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2AF5BF" w14:textId="77777777" w:rsidR="005E0DD9" w:rsidRDefault="00000000">
            <w:r>
              <w:rPr>
                <w:rFonts w:ascii="Georgia" w:eastAsia="Georgia" w:hAnsi="Georgia" w:cs="Georgia"/>
                <w:sz w:val="18"/>
                <w:szCs w:val="18"/>
              </w:rPr>
              <w:t xml:space="preserve">Taxa de inadimplência, </w:t>
            </w:r>
            <w:proofErr w:type="spellStart"/>
            <w:r>
              <w:rPr>
                <w:rFonts w:ascii="Georgia" w:eastAsia="Georgia" w:hAnsi="Georgia" w:cs="Georgia"/>
                <w:sz w:val="18"/>
                <w:szCs w:val="18"/>
              </w:rPr>
              <w:t>aging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</w:rPr>
              <w:t xml:space="preserve"> de recebíveis, receita realizada </w:t>
            </w:r>
            <w:proofErr w:type="spellStart"/>
            <w:r>
              <w:rPr>
                <w:rFonts w:ascii="Georgia" w:eastAsia="Georgia" w:hAnsi="Georgia" w:cs="Georgia"/>
                <w:sz w:val="18"/>
                <w:szCs w:val="18"/>
              </w:rPr>
              <w:t>vs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</w:rPr>
              <w:t xml:space="preserve"> prevista</w:t>
            </w:r>
          </w:p>
        </w:tc>
      </w:tr>
      <w:tr w:rsidR="005E0DD9" w14:paraId="04E291DC" w14:textId="77777777">
        <w:tc>
          <w:tcPr>
            <w:tcW w:w="19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173302" w14:textId="77777777" w:rsidR="005E0DD9" w:rsidRDefault="00000000">
            <w:r>
              <w:rPr>
                <w:rFonts w:ascii="Georgia" w:eastAsia="Georgia" w:hAnsi="Georgia" w:cs="Georgia"/>
                <w:b/>
                <w:bCs/>
                <w:color w:val="1A3A5C"/>
                <w:sz w:val="19"/>
                <w:szCs w:val="19"/>
              </w:rPr>
              <w:t>Logística</w:t>
            </w:r>
          </w:p>
        </w:tc>
        <w:tc>
          <w:tcPr>
            <w:tcW w:w="36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0C8BFF" w14:textId="77777777" w:rsidR="005E0DD9" w:rsidRDefault="00000000">
            <w:r>
              <w:rPr>
                <w:rFonts w:ascii="Georgia" w:eastAsia="Georgia" w:hAnsi="Georgia" w:cs="Georgia"/>
                <w:sz w:val="18"/>
                <w:szCs w:val="18"/>
              </w:rPr>
              <w:t xml:space="preserve">Pedidos faturados, data prometida </w:t>
            </w:r>
            <w:proofErr w:type="spellStart"/>
            <w:r>
              <w:rPr>
                <w:rFonts w:ascii="Georgia" w:eastAsia="Georgia" w:hAnsi="Georgia" w:cs="Georgia"/>
                <w:sz w:val="18"/>
                <w:szCs w:val="18"/>
              </w:rPr>
              <w:t>vs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</w:rPr>
              <w:t xml:space="preserve"> data de entrega, transportadora, status</w:t>
            </w:r>
          </w:p>
        </w:tc>
        <w:tc>
          <w:tcPr>
            <w:tcW w:w="3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639F4A" w14:textId="77777777" w:rsidR="005E0DD9" w:rsidRDefault="00000000">
            <w:proofErr w:type="spellStart"/>
            <w:r>
              <w:rPr>
                <w:rFonts w:ascii="Georgia" w:eastAsia="Georgia" w:hAnsi="Georgia" w:cs="Georgia"/>
                <w:sz w:val="18"/>
                <w:szCs w:val="18"/>
              </w:rPr>
              <w:t>On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</w:rPr>
              <w:t>-time delivery (%), pedidos em atraso, tempo médio de entrega por região</w:t>
            </w:r>
          </w:p>
        </w:tc>
      </w:tr>
    </w:tbl>
    <w:p w14:paraId="03024C57" w14:textId="77777777" w:rsidR="005E0DD9" w:rsidRDefault="005E0DD9">
      <w:pPr>
        <w:spacing w:after="200"/>
      </w:pPr>
    </w:p>
    <w:p w14:paraId="0A37478D" w14:textId="77777777" w:rsidR="005E0DD9" w:rsidRDefault="00000000">
      <w:pPr>
        <w:spacing w:before="240" w:after="80"/>
      </w:pPr>
      <w:r>
        <w:rPr>
          <w:b/>
          <w:bCs/>
          <w:color w:val="1A3A5C"/>
          <w:sz w:val="22"/>
          <w:szCs w:val="22"/>
        </w:rPr>
        <w:t>4.3 Fora do escopo</w:t>
      </w:r>
    </w:p>
    <w:p w14:paraId="05C0AA92" w14:textId="77777777" w:rsidR="005E0DD9" w:rsidRDefault="00000000">
      <w:pPr>
        <w:spacing w:after="160"/>
      </w:pPr>
      <w:r>
        <w:rPr>
          <w:rFonts w:ascii="Georgia" w:eastAsia="Georgia" w:hAnsi="Georgia" w:cs="Georgia"/>
        </w:rPr>
        <w:t>Os itens a seguir estão explicitamente excluídos deste projeto e não serão entregues nesta versão da plataforma:</w:t>
      </w:r>
    </w:p>
    <w:p w14:paraId="4B5C4BF1" w14:textId="77777777" w:rsidR="005E0DD9" w:rsidRDefault="005E0DD9">
      <w:pPr>
        <w:spacing w:after="60"/>
      </w:pPr>
    </w:p>
    <w:p w14:paraId="2EDA2DE1" w14:textId="77777777" w:rsidR="005E0DD9" w:rsidRDefault="00000000">
      <w:pPr>
        <w:spacing w:after="80"/>
        <w:ind w:left="440" w:hanging="280"/>
      </w:pPr>
      <w:r>
        <w:rPr>
          <w:color w:val="0066CC"/>
        </w:rPr>
        <w:t xml:space="preserve">–  </w:t>
      </w:r>
      <w:r>
        <w:rPr>
          <w:rFonts w:ascii="Georgia" w:eastAsia="Georgia" w:hAnsi="Georgia" w:cs="Georgia"/>
        </w:rPr>
        <w:t>Modificações no sistema ERP existente ou em sua base de dados.</w:t>
      </w:r>
    </w:p>
    <w:p w14:paraId="031ECEB5" w14:textId="77777777" w:rsidR="005E0DD9" w:rsidRDefault="00000000">
      <w:pPr>
        <w:spacing w:after="80"/>
        <w:ind w:left="440" w:hanging="280"/>
      </w:pPr>
      <w:r>
        <w:rPr>
          <w:color w:val="0066CC"/>
        </w:rPr>
        <w:t xml:space="preserve">–  </w:t>
      </w:r>
      <w:r>
        <w:rPr>
          <w:rFonts w:ascii="Georgia" w:eastAsia="Georgia" w:hAnsi="Georgia" w:cs="Georgia"/>
        </w:rPr>
        <w:t>Integração com fontes de dados externas ao ERP (CRM, e-commerce, marketplaces).</w:t>
      </w:r>
    </w:p>
    <w:p w14:paraId="4FECB18C" w14:textId="77777777" w:rsidR="005E0DD9" w:rsidRDefault="00000000">
      <w:pPr>
        <w:spacing w:after="80"/>
        <w:ind w:left="440" w:hanging="280"/>
      </w:pPr>
      <w:r>
        <w:rPr>
          <w:color w:val="0066CC"/>
        </w:rPr>
        <w:t xml:space="preserve">–  </w:t>
      </w:r>
      <w:r>
        <w:rPr>
          <w:rFonts w:ascii="Georgia" w:eastAsia="Georgia" w:hAnsi="Georgia" w:cs="Georgia"/>
        </w:rPr>
        <w:t>Desenvolvimento de aplicativo mobile.</w:t>
      </w:r>
    </w:p>
    <w:p w14:paraId="46641FC1" w14:textId="77777777" w:rsidR="005E0DD9" w:rsidRDefault="00000000">
      <w:pPr>
        <w:spacing w:after="80"/>
        <w:ind w:left="440" w:hanging="280"/>
      </w:pPr>
      <w:r>
        <w:rPr>
          <w:color w:val="0066CC"/>
        </w:rPr>
        <w:t xml:space="preserve">–  </w:t>
      </w:r>
      <w:r>
        <w:rPr>
          <w:rFonts w:ascii="Georgia" w:eastAsia="Georgia" w:hAnsi="Georgia" w:cs="Georgia"/>
        </w:rPr>
        <w:t>Implementação de modelos de machine learning ou previsão estatística.</w:t>
      </w:r>
    </w:p>
    <w:p w14:paraId="0A22FC11" w14:textId="77777777" w:rsidR="005E0DD9" w:rsidRDefault="00000000">
      <w:pPr>
        <w:spacing w:after="80"/>
        <w:ind w:left="440" w:hanging="280"/>
      </w:pPr>
      <w:r>
        <w:rPr>
          <w:color w:val="0066CC"/>
        </w:rPr>
        <w:t xml:space="preserve">–  </w:t>
      </w:r>
      <w:r>
        <w:rPr>
          <w:rFonts w:ascii="Georgia" w:eastAsia="Georgia" w:hAnsi="Georgia" w:cs="Georgia"/>
        </w:rPr>
        <w:t>Migração de dados históricos anteriores a janeiro de 2024.</w:t>
      </w:r>
    </w:p>
    <w:p w14:paraId="7B2CE08E" w14:textId="77777777" w:rsidR="005E0DD9" w:rsidRDefault="00000000">
      <w:pPr>
        <w:spacing w:after="80"/>
        <w:ind w:left="440" w:hanging="280"/>
      </w:pPr>
      <w:r>
        <w:rPr>
          <w:color w:val="0066CC"/>
        </w:rPr>
        <w:t xml:space="preserve">–  </w:t>
      </w:r>
      <w:r>
        <w:rPr>
          <w:rFonts w:ascii="Georgia" w:eastAsia="Georgia" w:hAnsi="Georgia" w:cs="Georgia"/>
        </w:rPr>
        <w:t>Suporte e manutenção pós-entrega além do período de garantia definido na seção 7.</w:t>
      </w:r>
    </w:p>
    <w:p w14:paraId="03AF9343" w14:textId="64694AF7" w:rsidR="005E0DD9" w:rsidRDefault="005E0DD9"/>
    <w:sectPr w:rsidR="005E0DD9">
      <w:headerReference w:type="default" r:id="rId7"/>
      <w:footerReference w:type="default" r:id="rId8"/>
      <w:pgSz w:w="11906" w:h="16838"/>
      <w:pgMar w:top="1418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E64FC" w14:textId="77777777" w:rsidR="003B50BC" w:rsidRDefault="003B50BC">
      <w:r>
        <w:separator/>
      </w:r>
    </w:p>
  </w:endnote>
  <w:endnote w:type="continuationSeparator" w:id="0">
    <w:p w14:paraId="249C5296" w14:textId="77777777" w:rsidR="003B50BC" w:rsidRDefault="003B5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A3FF789-53D4-47DD-8933-91780690BF72}"/>
    <w:embedBold r:id="rId2" w:fontKey="{1520BE88-F0D4-4E3C-AE06-428EE1210032}"/>
    <w:embedItalic r:id="rId3" w:fontKey="{648E6077-8FA8-48FB-89E9-3E10389DDF6B}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4" w:fontKey="{35F67944-26B7-41F0-8C02-43E79EE77DA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C12215E-373A-4AD2-8565-0BB4C9D96C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9B46CAF-75C9-45A5-A2C0-F51B6277F2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CC884" w14:textId="77777777" w:rsidR="005E0DD9" w:rsidRDefault="00000000">
    <w:pPr>
      <w:pBdr>
        <w:top w:val="single" w:sz="4" w:space="0" w:color="D0D7DE"/>
      </w:pBdr>
      <w:tabs>
        <w:tab w:val="right" w:pos="9026"/>
      </w:tabs>
      <w:spacing w:before="80"/>
    </w:pPr>
    <w:proofErr w:type="spellStart"/>
    <w:r>
      <w:rPr>
        <w:color w:val="8A97A4"/>
        <w:sz w:val="16"/>
        <w:szCs w:val="16"/>
      </w:rPr>
      <w:t>Statement</w:t>
    </w:r>
    <w:proofErr w:type="spellEnd"/>
    <w:r>
      <w:rPr>
        <w:color w:val="8A97A4"/>
        <w:sz w:val="16"/>
        <w:szCs w:val="16"/>
      </w:rPr>
      <w:t xml:space="preserve"> </w:t>
    </w:r>
    <w:proofErr w:type="spellStart"/>
    <w:r>
      <w:rPr>
        <w:color w:val="8A97A4"/>
        <w:sz w:val="16"/>
        <w:szCs w:val="16"/>
      </w:rPr>
      <w:t>of</w:t>
    </w:r>
    <w:proofErr w:type="spellEnd"/>
    <w:r>
      <w:rPr>
        <w:color w:val="8A97A4"/>
        <w:sz w:val="16"/>
        <w:szCs w:val="16"/>
      </w:rPr>
      <w:t xml:space="preserve"> </w:t>
    </w:r>
    <w:proofErr w:type="spellStart"/>
    <w:proofErr w:type="gramStart"/>
    <w:r>
      <w:rPr>
        <w:color w:val="8A97A4"/>
        <w:sz w:val="16"/>
        <w:szCs w:val="16"/>
      </w:rPr>
      <w:t>Work</w:t>
    </w:r>
    <w:proofErr w:type="spellEnd"/>
    <w:r>
      <w:rPr>
        <w:color w:val="8A97A4"/>
        <w:sz w:val="16"/>
        <w:szCs w:val="16"/>
      </w:rPr>
      <w:t xml:space="preserve">  —</w:t>
    </w:r>
    <w:proofErr w:type="gramEnd"/>
    <w:r>
      <w:rPr>
        <w:color w:val="8A97A4"/>
        <w:sz w:val="16"/>
        <w:szCs w:val="16"/>
      </w:rPr>
      <w:t xml:space="preserve">  Plataforma de Inteligência Operacional Versão </w:t>
    </w:r>
    <w:proofErr w:type="gramStart"/>
    <w:r>
      <w:rPr>
        <w:color w:val="8A97A4"/>
        <w:sz w:val="16"/>
        <w:szCs w:val="16"/>
      </w:rPr>
      <w:t>1.0  |</w:t>
    </w:r>
    <w:proofErr w:type="gramEnd"/>
    <w:r>
      <w:rPr>
        <w:color w:val="8A97A4"/>
        <w:sz w:val="16"/>
        <w:szCs w:val="16"/>
      </w:rPr>
      <w:t xml:space="preserve">  13 de março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D937B" w14:textId="77777777" w:rsidR="003B50BC" w:rsidRDefault="003B50BC">
      <w:r>
        <w:separator/>
      </w:r>
    </w:p>
  </w:footnote>
  <w:footnote w:type="continuationSeparator" w:id="0">
    <w:p w14:paraId="2779EB98" w14:textId="77777777" w:rsidR="003B50BC" w:rsidRDefault="003B50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4D718" w14:textId="77777777" w:rsidR="005E0DD9" w:rsidRDefault="00000000">
    <w:pPr>
      <w:pBdr>
        <w:bottom w:val="single" w:sz="10" w:space="0" w:color="0F2B4C"/>
      </w:pBdr>
      <w:tabs>
        <w:tab w:val="right" w:pos="9026"/>
      </w:tabs>
      <w:spacing w:after="120"/>
    </w:pPr>
    <w:r>
      <w:rPr>
        <w:b/>
        <w:bCs/>
        <w:color w:val="8A97A4"/>
        <w:sz w:val="17"/>
        <w:szCs w:val="17"/>
      </w:rPr>
      <w:t xml:space="preserve">CONFIDENCIAL — USO INTERNO </w:t>
    </w:r>
    <w:r>
      <w:rPr>
        <w:color w:val="8A97A4"/>
        <w:sz w:val="17"/>
        <w:szCs w:val="17"/>
      </w:rPr>
      <w:t>SOW-2026-</w:t>
    </w:r>
    <w:proofErr w:type="gramStart"/>
    <w:r>
      <w:rPr>
        <w:color w:val="8A97A4"/>
        <w:sz w:val="17"/>
        <w:szCs w:val="17"/>
      </w:rPr>
      <w:t>001  |</w:t>
    </w:r>
    <w:proofErr w:type="gramEnd"/>
    <w:r>
      <w:rPr>
        <w:color w:val="8A97A4"/>
        <w:sz w:val="17"/>
        <w:szCs w:val="17"/>
      </w:rPr>
      <w:t xml:space="preserve">  </w:t>
    </w:r>
    <w:proofErr w:type="spellStart"/>
    <w:r>
      <w:rPr>
        <w:color w:val="8A97A4"/>
        <w:sz w:val="17"/>
        <w:szCs w:val="17"/>
      </w:rPr>
      <w:t>VendaMais</w:t>
    </w:r>
    <w:proofErr w:type="spellEnd"/>
    <w:r>
      <w:rPr>
        <w:color w:val="8A97A4"/>
        <w:sz w:val="17"/>
        <w:szCs w:val="17"/>
      </w:rPr>
      <w:t xml:space="preserve"> Distribuidora Ltda.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DD9"/>
    <w:rsid w:val="00334767"/>
    <w:rsid w:val="003B50BC"/>
    <w:rsid w:val="005E0DD9"/>
    <w:rsid w:val="00AE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B3FAA"/>
  <w15:docId w15:val="{1F64D2D1-F461-4031-9C93-FBA80129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748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100"/>
      <w:outlineLvl w:val="0"/>
    </w:pPr>
    <w:rPr>
      <w:b/>
      <w:bCs/>
      <w:color w:val="0F2B4C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/zGA1htj2D6uQXKrFdZSJ3h//w==">CgMxLjAaHQoBMBIYChYIB0ISEhBBcmlhbCBVbmljb2RlIE1TGh8KATESGgoYCAlSFAoSdGFibGUucHR3bXRlbWxtNDZ3GhsKATISFgoUCAdCEAoHR2VvcmdpYRIFQ2FyZG8aGwoBMxIWChQIB0IQCgdHZW9yZ2lhEgVDYXJkbzgAaisKFHN1Z2dlc3QucXdqbzJkMWVndDQ2EhNDaHJpc3RpYW5vIFBpY2NpbmluaisKFHN1Z2dlc3QuMXlvMTI3aXR1eWpoEhNDaHJpc3RpYW5vIFBpY2NpbmluciExckxNZk5pSWp1Y2xYNGdYZm41M0VsZG9FUjZOMmNUQ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992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Christiano Piccinin</cp:lastModifiedBy>
  <cp:revision>2</cp:revision>
  <dcterms:created xsi:type="dcterms:W3CDTF">2026-03-13T15:44:00Z</dcterms:created>
  <dcterms:modified xsi:type="dcterms:W3CDTF">2026-03-26T18:30:00Z</dcterms:modified>
</cp:coreProperties>
</file>