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56b43c6dddcc1320497be5f6ab090d17418fc2d"/>
    <w:p>
      <w:pPr>
        <w:pStyle w:val="Heading1"/>
      </w:pPr>
      <w:r>
        <w:t xml:space="preserve">Viking: A Modern Platform for Ultrastructural Connectome Mapping and Analysis</w:t>
      </w:r>
    </w:p>
    <w:p>
      <w:pPr>
        <w:pStyle w:val="FirstParagraph"/>
      </w:pPr>
      <w:r>
        <w:rPr>
          <w:i/>
          <w:iCs/>
        </w:rPr>
        <w:t xml:space="preserve">Methods paper draft. This document expands the original framework described by</w:t>
      </w:r>
      <w:r>
        <w:rPr>
          <w:i/>
          <w:iCs/>
        </w:rPr>
        <w:t xml:space="preserve"> </w:t>
      </w:r>
      <w:r>
        <w:rPr>
          <w:i/>
          <w:iCs/>
        </w:rPr>
        <w:t xml:space="preserve">Anderson et al. (2009),</w:t>
      </w:r>
      <w:r>
        <w:rPr>
          <w:i/>
          <w:iCs/>
        </w:rPr>
        <w:t xml:space="preserve"> </w:t>
      </w:r>
      <w:r>
        <w:rPr>
          <w:i/>
          <w:iCs/>
        </w:rPr>
        <w:t xml:space="preserve">“A Computational Framework for Ultrastructural Mapping of</w:t>
      </w:r>
      <w:r>
        <w:rPr>
          <w:i/>
          <w:iCs/>
        </w:rPr>
        <w:t xml:space="preserve"> </w:t>
      </w:r>
      <w:r>
        <w:rPr>
          <w:i/>
          <w:iCs/>
        </w:rPr>
        <w:t xml:space="preserve">Neural Circuitry”</w:t>
      </w:r>
      <w:r>
        <w:rPr>
          <w:i/>
          <w:iCs/>
        </w:rPr>
        <w:t xml:space="preserve">, PLoS Biology 7(3):e1000074, to reflect the substantial</w:t>
      </w:r>
      <w:r>
        <w:rPr>
          <w:i/>
          <w:iCs/>
        </w:rPr>
        <w:t xml:space="preserve"> </w:t>
      </w:r>
      <w:r>
        <w:rPr>
          <w:i/>
          <w:iCs/>
        </w:rPr>
        <w:t xml:space="preserve">development of the Viking platform in the years since publication. It is intended</w:t>
      </w:r>
      <w:r>
        <w:rPr>
          <w:i/>
          <w:iCs/>
        </w:rPr>
        <w:t xml:space="preserve"> </w:t>
      </w:r>
      <w:r>
        <w:rPr>
          <w:i/>
          <w:iCs/>
        </w:rPr>
        <w:t xml:space="preserve">as a starting draft for a peer-reviewed methods manuscript and for a colleague’s</w:t>
      </w:r>
      <w:r>
        <w:rPr>
          <w:i/>
          <w:iCs/>
        </w:rPr>
        <w:t xml:space="preserve"> </w:t>
      </w:r>
      <w:r>
        <w:rPr>
          <w:i/>
          <w:iCs/>
        </w:rPr>
        <w:t xml:space="preserve">methods paper on 3D connectome analysis. Citation markers in the form [CITE: …]</w:t>
      </w:r>
      <w:r>
        <w:rPr>
          <w:i/>
          <w:iCs/>
        </w:rPr>
        <w:t xml:space="preserve"> </w:t>
      </w:r>
      <w:r>
        <w:rPr>
          <w:i/>
          <w:iCs/>
        </w:rPr>
        <w:t xml:space="preserve">mark places where the authors should insert formal references; technical claims</w:t>
      </w:r>
      <w:r>
        <w:rPr>
          <w:i/>
          <w:iCs/>
        </w:rPr>
        <w:t xml:space="preserve"> </w:t>
      </w:r>
      <w:r>
        <w:rPr>
          <w:i/>
          <w:iCs/>
        </w:rPr>
        <w:t xml:space="preserve">are grounded in the current source tree and noted with file paths.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reconstruction of neural circuits from serial-section electron microscopy</w:t>
      </w:r>
      <w:r>
        <w:t xml:space="preserve"> </w:t>
      </w:r>
      <w:r>
        <w:t xml:space="preserve">requires software that can assemble terabyte-scale image volumes, support the</w:t>
      </w:r>
      <w:r>
        <w:t xml:space="preserve"> </w:t>
      </w:r>
      <w:r>
        <w:t xml:space="preserve">collaborative annotation of cells and their connections, and convert those</w:t>
      </w:r>
      <w:r>
        <w:t xml:space="preserve"> </w:t>
      </w:r>
      <w:r>
        <w:t xml:space="preserve">annotations into quantitative anatomical and network models. The original Viking</w:t>
      </w:r>
      <w:r>
        <w:t xml:space="preserve"> </w:t>
      </w:r>
      <w:r>
        <w:t xml:space="preserve">framework (Anderson et al., 2009) established an end-to-end pipeline for</w:t>
      </w:r>
      <w:r>
        <w:t xml:space="preserve"> </w:t>
      </w:r>
      <w:r>
        <w:t xml:space="preserve">acquiring, registering, and viewing such volumes, together with a client for</w:t>
      </w:r>
      <w:r>
        <w:t xml:space="preserve"> </w:t>
      </w:r>
      <w:r>
        <w:t xml:space="preserve">slice-by-slice annotation. Since then the platform has been substantially</w:t>
      </w:r>
      <w:r>
        <w:t xml:space="preserve"> </w:t>
      </w:r>
      <w:r>
        <w:t xml:space="preserve">re-engineered. The desktop client has been rebuilt on a modern real-time</w:t>
      </w:r>
      <w:r>
        <w:t xml:space="preserve"> </w:t>
      </w:r>
      <w:r>
        <w:t xml:space="preserve">graphics stack; annotation geometry is now stored as indexed spatial types in a</w:t>
      </w:r>
      <w:r>
        <w:t xml:space="preserve"> </w:t>
      </w:r>
      <w:r>
        <w:t xml:space="preserve">relational database; programmatic access is provided through an OData service,</w:t>
      </w:r>
      <w:r>
        <w:t xml:space="preserve"> </w:t>
      </w:r>
      <w:r>
        <w:t xml:space="preserve">with a gRPC service under development; user access is mediated by a dedicated</w:t>
      </w:r>
      <w:r>
        <w:t xml:space="preserve"> </w:t>
      </w:r>
      <w:r>
        <w:t xml:space="preserve">identity service with volume-scoped permissions; and a reconstruction pipeline</w:t>
      </w:r>
      <w:r>
        <w:t xml:space="preserve"> </w:t>
      </w:r>
      <w:r>
        <w:t xml:space="preserve">converts two-dimensional annotations into three-dimensional surface meshes and</w:t>
      </w:r>
      <w:r>
        <w:t xml:space="preserve"> </w:t>
      </w:r>
      <w:r>
        <w:t xml:space="preserve">connectivity graphs suitable for downstream analysis. This paper documents the</w:t>
      </w:r>
      <w:r>
        <w:t xml:space="preserve"> </w:t>
      </w:r>
      <w:r>
        <w:t xml:space="preserve">current architecture, the data model, and the analysis pipeline, with emphasis</w:t>
      </w:r>
      <w:r>
        <w:t xml:space="preserve"> </w:t>
      </w:r>
      <w:r>
        <w:t xml:space="preserve">on the components that did not exist when the framework was first described.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2009 framework paper addressed a then-novel problem: how to turn the raw</w:t>
      </w:r>
      <w:r>
        <w:t xml:space="preserve"> </w:t>
      </w:r>
      <w:r>
        <w:t xml:space="preserve">output of automated serial-section transmission electron microscopy into a</w:t>
      </w:r>
      <w:r>
        <w:t xml:space="preserve"> </w:t>
      </w:r>
      <w:r>
        <w:t xml:space="preserve">navigable, annotatable volume at a scale of terabytes [CITE: Anderson 2009]. Its</w:t>
      </w:r>
      <w:r>
        <w:t xml:space="preserve"> </w:t>
      </w:r>
      <w:r>
        <w:t xml:space="preserve">contributions spanned acquisition with SerialEM [CITE: Mastronarde], image</w:t>
      </w:r>
      <w:r>
        <w:t xml:space="preserve"> </w:t>
      </w:r>
      <w:r>
        <w:t xml:space="preserve">mosaicking and slice-to-slice registration with the ir-tools suite, color and</w:t>
      </w:r>
      <w:r>
        <w:t xml:space="preserve"> </w:t>
      </w:r>
      <w:r>
        <w:t xml:space="preserve">intensity correction, volume assembly, and a Win32 client (</w:t>
      </w:r>
      <w:r>
        <w:t xml:space="preserve">“Viking”</w:t>
      </w:r>
      <w:r>
        <w:t xml:space="preserve">) that paged</w:t>
      </w:r>
      <w:r>
        <w:t xml:space="preserve"> </w:t>
      </w:r>
      <w:r>
        <w:t xml:space="preserve">through reconstructed sections over HTTP and let annotators mark structures and</w:t>
      </w:r>
      <w:r>
        <w:t xml:space="preserve"> </w:t>
      </w:r>
      <w:r>
        <w:t xml:space="preserve">their connections.</w:t>
      </w:r>
    </w:p>
    <w:p>
      <w:pPr>
        <w:pStyle w:val="BodyText"/>
      </w:pPr>
      <w:r>
        <w:t xml:space="preserve">That framework remains sound, and the acquisition and registration stages are</w:t>
      </w:r>
      <w:r>
        <w:t xml:space="preserve"> </w:t>
      </w:r>
      <w:r>
        <w:t xml:space="preserve">largely unchanged. What has changed is everything downstream of a registered</w:t>
      </w:r>
      <w:r>
        <w:t xml:space="preserve"> </w:t>
      </w:r>
      <w:r>
        <w:t xml:space="preserve">volume. Connectome projects now involve more annotators working concurrently,</w:t>
      </w:r>
      <w:r>
        <w:t xml:space="preserve"> </w:t>
      </w:r>
      <w:r>
        <w:t xml:space="preserve">larger and more numerous volumes, and a strong demand for quantitative outputs:</w:t>
      </w:r>
      <w:r>
        <w:t xml:space="preserve"> </w:t>
      </w:r>
      <w:r>
        <w:t xml:space="preserve">not just</w:t>
      </w:r>
      <w:r>
        <w:t xml:space="preserve"> </w:t>
      </w:r>
      <w:r>
        <w:t xml:space="preserve">“which cells connect to which”</w:t>
      </w:r>
      <w:r>
        <w:t xml:space="preserve">, but the three-dimensional morphology of</w:t>
      </w:r>
      <w:r>
        <w:t xml:space="preserve"> </w:t>
      </w:r>
      <w:r>
        <w:t xml:space="preserve">each process and the spatial distribution of its synapses. Meeting these demands</w:t>
      </w:r>
      <w:r>
        <w:t xml:space="preserve"> </w:t>
      </w:r>
      <w:r>
        <w:t xml:space="preserve">required changes that the original paper did not anticipate: a spatially indexed</w:t>
      </w:r>
      <w:r>
        <w:t xml:space="preserve"> </w:t>
      </w:r>
      <w:r>
        <w:t xml:space="preserve">database so the client can load only the annotations within the current viewport;</w:t>
      </w:r>
      <w:r>
        <w:t xml:space="preserve"> </w:t>
      </w:r>
      <w:r>
        <w:t xml:space="preserve">service APIs so that analysis code can read the annotation graph without screen</w:t>
      </w:r>
      <w:r>
        <w:t xml:space="preserve"> </w:t>
      </w:r>
      <w:r>
        <w:t xml:space="preserve">scraping; an authentication layer so that volumes can be shared across</w:t>
      </w:r>
      <w:r>
        <w:t xml:space="preserve"> </w:t>
      </w:r>
      <w:r>
        <w:t xml:space="preserve">institutions with appropriate permissions; and an automated pipeline that lifts</w:t>
      </w:r>
      <w:r>
        <w:t xml:space="preserve"> </w:t>
      </w:r>
      <w:r>
        <w:t xml:space="preserve">flat, per-section annotations into closed 3D surfaces.</w:t>
      </w:r>
    </w:p>
    <w:p>
      <w:pPr>
        <w:pStyle w:val="BodyText"/>
      </w:pPr>
      <w:r>
        <w:t xml:space="preserve">This paper documents the platform as it exists today. Where a stage is unchanged</w:t>
      </w:r>
      <w:r>
        <w:t xml:space="preserve"> </w:t>
      </w:r>
      <w:r>
        <w:t xml:space="preserve">from 2009 we summarize it briefly and refer to the original work; where a stage</w:t>
      </w:r>
      <w:r>
        <w:t xml:space="preserve"> </w:t>
      </w:r>
      <w:r>
        <w:t xml:space="preserve">is new or substantially revised we describe it in enough detail to support</w:t>
      </w:r>
      <w:r>
        <w:t xml:space="preserve"> </w:t>
      </w:r>
      <w:r>
        <w:t xml:space="preserve">methods reporting and reproduction.</w:t>
      </w:r>
    </w:p>
    <w:p>
      <w:r>
        <w:pict>
          <v:rect style="width:0;height:1.5pt" o:hralign="center" o:hrstd="t" o:hr="t"/>
        </w:pict>
      </w:r>
    </w:p>
    <w:bookmarkEnd w:id="10"/>
    <w:bookmarkStart w:id="21" w:name="image-volume-pipeline"/>
    <w:p>
      <w:pPr>
        <w:pStyle w:val="Heading2"/>
      </w:pPr>
      <w:r>
        <w:t xml:space="preserve">2. Image volume pipeline</w:t>
      </w:r>
    </w:p>
    <w:bookmarkStart w:id="11" w:name="acquisition-mosaicking-and-registration"/>
    <w:p>
      <w:pPr>
        <w:pStyle w:val="Heading3"/>
      </w:pPr>
      <w:r>
        <w:t xml:space="preserve">2.1 Acquisition, mosaicking, and registration</w:t>
      </w:r>
    </w:p>
    <w:p>
      <w:pPr>
        <w:pStyle w:val="FirstParagraph"/>
      </w:pPr>
      <w:r>
        <w:t xml:space="preserve">Image acquisition, tile mosaicking, intensity correction, and slice-to-slice</w:t>
      </w:r>
      <w:r>
        <w:t xml:space="preserve"> </w:t>
      </w:r>
      <w:r>
        <w:t xml:space="preserve">registration follow the pipeline described in 2009 and are only summarized here.</w:t>
      </w:r>
      <w:r>
        <w:t xml:space="preserve"> </w:t>
      </w:r>
      <w:r>
        <w:t xml:space="preserve">Sections are imaged as overlapping tiles; tiles are assembled into a per-section</w:t>
      </w:r>
      <w:r>
        <w:t xml:space="preserve"> </w:t>
      </w:r>
      <w:r>
        <w:t xml:space="preserve">mosaic; and consecutive mosaics are registered to one another to build a</w:t>
      </w:r>
      <w:r>
        <w:t xml:space="preserve"> </w:t>
      </w:r>
      <w:r>
        <w:t xml:space="preserve">coherent volume. The registration between any two sections is captured as a</w:t>
      </w:r>
      <w:r>
        <w:t xml:space="preserve"> </w:t>
      </w:r>
      <w:r>
        <w:t xml:space="preserve">“slice-to-slice”</w:t>
      </w:r>
      <w:r>
        <w:t xml:space="preserve"> </w:t>
      </w:r>
      <w:r>
        <w:t xml:space="preserve">(STOS) transform.</w:t>
      </w:r>
    </w:p>
    <w:bookmarkEnd w:id="11"/>
    <w:bookmarkStart w:id="17" w:name="volume-model"/>
    <w:p>
      <w:pPr>
        <w:pStyle w:val="Heading3"/>
      </w:pPr>
      <w:r>
        <w:t xml:space="preserve">2.2 Volume model</w:t>
      </w:r>
    </w:p>
    <w:p>
      <w:pPr>
        <w:pStyle w:val="FirstParagraph"/>
      </w:pPr>
      <w:r>
        <w:t xml:space="preserve">In the current client, a dataset is described by a VikingXML document that the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class parses</w:t>
      </w:r>
      <w:r>
        <w:t xml:space="preserve"> </w:t>
      </w:r>
      <w:r>
        <w:t xml:space="preserve">(</w:t>
      </w:r>
      <w:hyperlink r:id="rId12">
        <w:r>
          <w:rPr>
            <w:rStyle w:val="VerbatimChar"/>
          </w:rPr>
          <w:t xml:space="preserve">Clients/VolumeModel/Volume.cs</w:t>
        </w:r>
      </w:hyperlink>
      <w:r>
        <w:t xml:space="preserve">). A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holds an ordered set of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objects</w:t>
      </w:r>
      <w:r>
        <w:t xml:space="preserve"> </w:t>
      </w:r>
      <w:r>
        <w:t xml:space="preserve">(</w:t>
      </w:r>
      <w:hyperlink r:id="rId13">
        <w:r>
          <w:rPr>
            <w:rStyle w:val="VerbatimChar"/>
          </w:rPr>
          <w:t xml:space="preserve">Clients/VolumeModel/Section.cs</w:t>
        </w:r>
      </w:hyperlink>
      <w:r>
        <w:t xml:space="preserve">),</w:t>
      </w:r>
      <w:r>
        <w:t xml:space="preserve"> </w:t>
      </w:r>
      <w:r>
        <w:t xml:space="preserve">the groups of STOS transforms that register them, the host URL, and local cache</w:t>
      </w:r>
      <w:r>
        <w:t xml:space="preserve"> </w:t>
      </w:r>
      <w:r>
        <w:t xml:space="preserve">paths. Each section exposes one or more image pyramids (</w:t>
      </w:r>
      <w:r>
        <w:rPr>
          <w:rStyle w:val="VerbatimChar"/>
        </w:rPr>
        <w:t xml:space="preserve">Pyramid</w:t>
      </w:r>
      <w:r>
        <w:t xml:space="preserve">,</w:t>
      </w:r>
      <w:r>
        <w:t xml:space="preserve"> </w:t>
      </w:r>
      <w:hyperlink r:id="rId14">
        <w:r>
          <w:rPr>
            <w:rStyle w:val="VerbatimChar"/>
          </w:rPr>
          <w:t xml:space="preserve">Clients/VolumeModel/Pyramid.cs</w:t>
        </w:r>
      </w:hyperlink>
      <w:r>
        <w:t xml:space="preserve">),</w:t>
      </w:r>
      <w:r>
        <w:t xml:space="preserve"> </w:t>
      </w:r>
      <w:r>
        <w:t xml:space="preserve">which map a downsampling level to the directory of tiles at that resolution.</w:t>
      </w:r>
    </w:p>
    <w:p>
      <w:pPr>
        <w:pStyle w:val="BodyText"/>
      </w:pPr>
      <w:r>
        <w:t xml:space="preserve">Two tile-mapping strategies coexist.</w:t>
      </w:r>
      <w:r>
        <w:t xml:space="preserve"> </w:t>
      </w:r>
      <w:r>
        <w:rPr>
          <w:rStyle w:val="VerbatimChar"/>
        </w:rPr>
        <w:t xml:space="preserve">FixedTileCountMapping</w:t>
      </w:r>
      <w:r>
        <w:t xml:space="preserve"> </w:t>
      </w:r>
      <w:r>
        <w:t xml:space="preserve">(</w:t>
      </w:r>
      <w:hyperlink r:id="rId15">
        <w:r>
          <w:rPr>
            <w:rStyle w:val="VerbatimChar"/>
          </w:rPr>
          <w:t xml:space="preserve">Clients/VolumeModel/FixedTileCountMapping.cs</w:t>
        </w:r>
      </w:hyperlink>
      <w:r>
        <w:t xml:space="preserve">)</w:t>
      </w:r>
      <w:r>
        <w:t xml:space="preserve"> </w:t>
      </w:r>
      <w:r>
        <w:t xml:space="preserve">models classic EM mosaics, where each pyramid level has a fixed number of tiles</w:t>
      </w:r>
      <w:r>
        <w:t xml:space="preserve"> </w:t>
      </w:r>
      <w:r>
        <w:t xml:space="preserve">of varying size, driven by per-tile</w:t>
      </w:r>
      <w:r>
        <w:t xml:space="preserve"> </w:t>
      </w:r>
      <w:r>
        <w:rPr>
          <w:rStyle w:val="VerbatimChar"/>
        </w:rPr>
        <w:t xml:space="preserve">.mosaic</w:t>
      </w:r>
      <w:r>
        <w:t xml:space="preserve"> </w:t>
      </w:r>
      <w:r>
        <w:t xml:space="preserve">transforms.</w:t>
      </w:r>
      <w:r>
        <w:t xml:space="preserve"> </w:t>
      </w:r>
      <w:r>
        <w:rPr>
          <w:rStyle w:val="VerbatimChar"/>
        </w:rPr>
        <w:t xml:space="preserve">TileGridMapping</w:t>
      </w:r>
      <w:r>
        <w:t xml:space="preserve"> </w:t>
      </w:r>
      <w:r>
        <w:t xml:space="preserve">models pre-tiled pyramids with a fixed pixel size per tile and a grid that grows</w:t>
      </w:r>
      <w:r>
        <w:t xml:space="preserve"> </w:t>
      </w:r>
      <w:r>
        <w:t xml:space="preserve">with resolution, which is also used for tile servers in the style of the Open</w:t>
      </w:r>
      <w:r>
        <w:t xml:space="preserve"> </w:t>
      </w:r>
      <w:r>
        <w:t xml:space="preserve">Connectome Project. At render time, the visible tiles for the current view</w:t>
      </w:r>
      <w:r>
        <w:t xml:space="preserve"> </w:t>
      </w:r>
      <w:r>
        <w:t xml:space="preserve">frustum are gathered into a</w:t>
      </w:r>
      <w:r>
        <w:t xml:space="preserve"> </w:t>
      </w:r>
      <w:r>
        <w:rPr>
          <w:rStyle w:val="VerbatimChar"/>
        </w:rPr>
        <w:t xml:space="preserve">TilePyramid</w:t>
      </w:r>
      <w:r>
        <w:t xml:space="preserve"> </w:t>
      </w:r>
      <w:r>
        <w:t xml:space="preserve">(</w:t>
      </w:r>
      <w:hyperlink r:id="rId16">
        <w:r>
          <w:rPr>
            <w:rStyle w:val="VerbatimChar"/>
          </w:rPr>
          <w:t xml:space="preserve">Clients/VolumeModel/TilePyramid.cs</w:t>
        </w:r>
      </w:hyperlink>
      <w:r>
        <w:t xml:space="preserve">),</w:t>
      </w:r>
      <w:r>
        <w:t xml:space="preserve"> </w:t>
      </w:r>
      <w:r>
        <w:t xml:space="preserve">and each becomes a</w:t>
      </w:r>
      <w:r>
        <w:t xml:space="preserve"> </w:t>
      </w:r>
      <w:r>
        <w:rPr>
          <w:rStyle w:val="VerbatimChar"/>
        </w:rPr>
        <w:t xml:space="preserve">TileViewModel</w:t>
      </w:r>
      <w:r>
        <w:t xml:space="preserve"> </w:t>
      </w:r>
      <w:r>
        <w:t xml:space="preserve">carrying mesh vertices, texture coordinates,</w:t>
      </w:r>
      <w:r>
        <w:t xml:space="preserve"> </w:t>
      </w:r>
      <w:r>
        <w:t xml:space="preserve">and a texture URL.</w:t>
      </w:r>
    </w:p>
    <w:bookmarkEnd w:id="17"/>
    <w:bookmarkStart w:id="20" w:name="tile-serving-and-caching"/>
    <w:p>
      <w:pPr>
        <w:pStyle w:val="Heading3"/>
      </w:pPr>
      <w:r>
        <w:t xml:space="preserve">2.3 Tile serving and caching</w:t>
      </w:r>
    </w:p>
    <w:p>
      <w:pPr>
        <w:pStyle w:val="FirstParagraph"/>
      </w:pPr>
      <w:r>
        <w:t xml:space="preserve">Tiles and metadata are fetched over HTTP through a shared client. Tile images are</w:t>
      </w:r>
      <w:r>
        <w:t xml:space="preserve"> </w:t>
      </w:r>
      <w:r>
        <w:t xml:space="preserve">loaded by</w:t>
      </w:r>
      <w:r>
        <w:t xml:space="preserve"> </w:t>
      </w:r>
      <w:r>
        <w:rPr>
          <w:rStyle w:val="VerbatimChar"/>
        </w:rPr>
        <w:t xml:space="preserve">TextureReaderV2</w:t>
      </w:r>
      <w:r>
        <w:t xml:space="preserve"> </w:t>
      </w:r>
      <w:r>
        <w:t xml:space="preserve">(</w:t>
      </w:r>
      <w:hyperlink r:id="rId18">
        <w:r>
          <w:rPr>
            <w:rStyle w:val="VerbatimChar"/>
          </w:rPr>
          <w:t xml:space="preserve">Clients/Viking/NGVV/Threading/TextureReaderV2.cs</w:t>
        </w:r>
      </w:hyperlink>
      <w:r>
        <w:t xml:space="preserve">),</w:t>
      </w:r>
      <w:r>
        <w:t xml:space="preserve"> </w:t>
      </w:r>
      <w:r>
        <w:t xml:space="preserve">which checks a local disk cache before requesting from the server and writes</w:t>
      </w:r>
      <w:r>
        <w:t xml:space="preserve"> </w:t>
      </w:r>
      <w:r>
        <w:t xml:space="preserve">fetched tiles back to disk. Decoded tiles are held in an in-memory,</w:t>
      </w:r>
      <w:r>
        <w:t xml:space="preserve"> </w:t>
      </w:r>
      <w:r>
        <w:t xml:space="preserve">time-ordered cache (</w:t>
      </w:r>
      <w:r>
        <w:rPr>
          <w:rStyle w:val="VerbatimChar"/>
        </w:rPr>
        <w:t xml:space="preserve">TileCache</w:t>
      </w:r>
      <w:r>
        <w:t xml:space="preserve">,</w:t>
      </w:r>
      <w:r>
        <w:t xml:space="preserve"> </w:t>
      </w:r>
      <w:hyperlink r:id="rId19">
        <w:r>
          <w:rPr>
            <w:rStyle w:val="VerbatimChar"/>
          </w:rPr>
          <w:t xml:space="preserve">Clients/VolumeModel/TileCache.cs</w:t>
        </w:r>
      </w:hyperlink>
      <w:r>
        <w:t xml:space="preserve">)</w:t>
      </w:r>
      <w:r>
        <w:t xml:space="preserve"> </w:t>
      </w:r>
      <w:r>
        <w:t xml:space="preserve">that is trimmed periodically to bound memory use. This multi-layer caching is</w:t>
      </w:r>
      <w:r>
        <w:t xml:space="preserve"> </w:t>
      </w:r>
      <w:r>
        <w:t xml:space="preserve">what allows fluid navigation through volumes far larger than memory.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coordinate-spaces-and-registration"/>
    <w:p>
      <w:pPr>
        <w:pStyle w:val="Heading2"/>
      </w:pPr>
      <w:r>
        <w:t xml:space="preserve">3. Coordinate spaces and registration</w:t>
      </w:r>
    </w:p>
    <w:bookmarkStart w:id="23" w:name="two-coordinate-spaces"/>
    <w:p>
      <w:pPr>
        <w:pStyle w:val="Heading3"/>
      </w:pPr>
      <w:r>
        <w:t xml:space="preserve">3.1 Two coordinate spaces</w:t>
      </w:r>
    </w:p>
    <w:p>
      <w:pPr>
        <w:pStyle w:val="FirstParagraph"/>
      </w:pPr>
      <w:r>
        <w:t xml:space="preserve">A central concept, only implicit in the 2009 paper, is that Viking maintains two</w:t>
      </w:r>
      <w:r>
        <w:t xml:space="preserve"> </w:t>
      </w:r>
      <w:r>
        <w:t xml:space="preserve">distinct two-dimensional coordinate spaces and converts between them constantly: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Mosaic (section) space</w:t>
      </w:r>
      <w:r>
        <w:t xml:space="preserve"> </w:t>
      </w:r>
      <w:r>
        <w:t xml:space="preserve">is the native coordinate system of a single</w:t>
      </w:r>
      <w:r>
        <w:t xml:space="preserve"> </w:t>
      </w:r>
      <w:r>
        <w:t xml:space="preserve">assembled section, after tile mosaicking but before slice-to-slice</w:t>
      </w:r>
      <w:r>
        <w:t xml:space="preserve"> </w:t>
      </w:r>
      <w:r>
        <w:t xml:space="preserve">registration. Annotations are authored and stored in this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space</w:t>
      </w:r>
      <w:r>
        <w:t xml:space="preserve"> </w:t>
      </w:r>
      <w:r>
        <w:t xml:space="preserve">is the common, registered coordinate frame shared across all</w:t>
      </w:r>
      <w:r>
        <w:t xml:space="preserve"> </w:t>
      </w:r>
      <w:r>
        <w:t xml:space="preserve">sections. Cross-section navigation, adjacent-section overlays, and 3D</w:t>
      </w:r>
      <w:r>
        <w:t xml:space="preserve"> </w:t>
      </w:r>
      <w:r>
        <w:t xml:space="preserve">morphology all live in this space.</w:t>
      </w:r>
    </w:p>
    <w:p>
      <w:pPr>
        <w:pStyle w:val="FirstParagraph"/>
      </w:pPr>
      <w:r>
        <w:t xml:space="preserve">The distinction is documented for developers in</w:t>
      </w:r>
      <w:r>
        <w:t xml:space="preserve"> </w:t>
      </w:r>
      <w:hyperlink r:id="rId22">
        <w:r>
          <w:rPr>
            <w:rStyle w:val="VerbatimChar"/>
          </w:rPr>
          <w:t xml:space="preserve">.cursor/rules/coordinate-spaces.mdc</w:t>
        </w:r>
      </w:hyperlink>
      <w:r>
        <w:t xml:space="preserve">,</w:t>
      </w:r>
      <w:r>
        <w:t xml:space="preserve"> </w:t>
      </w:r>
      <w:r>
        <w:t xml:space="preserve">and the database stores each annotation footprint in both spaces (Section 5).</w:t>
      </w:r>
    </w:p>
    <w:bookmarkEnd w:id="23"/>
    <w:bookmarkStart w:id="25" w:name="transform-types"/>
    <w:p>
      <w:pPr>
        <w:pStyle w:val="Heading3"/>
      </w:pPr>
      <w:r>
        <w:t xml:space="preserve">3.2 Transform types</w:t>
      </w:r>
    </w:p>
    <w:p>
      <w:pPr>
        <w:pStyle w:val="FirstParagraph"/>
      </w:pPr>
      <w:r>
        <w:t xml:space="preserve">STOS transforms are represented by a family of classes in</w:t>
      </w:r>
      <w:r>
        <w:t xml:space="preserve"> </w:t>
      </w:r>
      <w:hyperlink r:id="rId24">
        <w:r>
          <w:rPr>
            <w:rStyle w:val="VerbatimChar"/>
          </w:rPr>
          <w:t xml:space="preserve">Geometry/Transforms/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RigidTransform</w:t>
      </w:r>
      <w:r>
        <w:t xml:space="preserve"> </w:t>
      </w:r>
      <w:r>
        <w:t xml:space="preserve">for</w:t>
      </w:r>
      <w:r>
        <w:t xml:space="preserve"> </w:t>
      </w:r>
      <w:r>
        <w:t xml:space="preserve">rotation and translation,</w:t>
      </w:r>
      <w:r>
        <w:t xml:space="preserve"> </w:t>
      </w:r>
      <w:r>
        <w:rPr>
          <w:rStyle w:val="VerbatimChar"/>
        </w:rPr>
        <w:t xml:space="preserve">GridTransform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MeshTransform</w:t>
      </w:r>
      <w:r>
        <w:t xml:space="preserve"> </w:t>
      </w:r>
      <w:r>
        <w:t xml:space="preserve">for discrete warps,</w:t>
      </w:r>
      <w:r>
        <w:t xml:space="preserve"> </w:t>
      </w:r>
      <w:r>
        <w:rPr>
          <w:rStyle w:val="VerbatimChar"/>
        </w:rPr>
        <w:t xml:space="preserve">RBFTransform</w:t>
      </w:r>
      <w:r>
        <w:t xml:space="preserve"> </w:t>
      </w:r>
      <w:r>
        <w:t xml:space="preserve">for a continuous radial-basis fallback, and</w:t>
      </w:r>
      <w:r>
        <w:t xml:space="preserve"> </w:t>
      </w:r>
      <w:r>
        <w:rPr>
          <w:rStyle w:val="VerbatimChar"/>
        </w:rPr>
        <w:t xml:space="preserve">TriangulationTransform</w:t>
      </w:r>
      <w:r>
        <w:t xml:space="preserve"> </w:t>
      </w:r>
      <w:r>
        <w:t xml:space="preserve">as the base for triangulated warps. Transforms are read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.stos</w:t>
      </w:r>
      <w:r>
        <w:t xml:space="preserve"> </w:t>
      </w:r>
      <w:r>
        <w:t xml:space="preserve">files (from disk, HTTP, or zip archives) by</w:t>
      </w:r>
      <w:r>
        <w:t xml:space="preserve"> </w:t>
      </w:r>
      <w:r>
        <w:rPr>
          <w:rStyle w:val="VerbatimChar"/>
        </w:rPr>
        <w:t xml:space="preserve">TransformFactory</w:t>
      </w:r>
      <w:r>
        <w:t xml:space="preserve">, with</w:t>
      </w:r>
      <w:r>
        <w:t xml:space="preserve"> </w:t>
      </w:r>
      <w:r>
        <w:t xml:space="preserve">provenance recorded in</w:t>
      </w:r>
      <w:r>
        <w:t xml:space="preserve"> </w:t>
      </w:r>
      <w:r>
        <w:rPr>
          <w:rStyle w:val="VerbatimChar"/>
        </w:rPr>
        <w:t xml:space="preserve">StosTransformInfo</w:t>
      </w:r>
      <w:r>
        <w:t xml:space="preserve"> </w:t>
      </w:r>
      <w:r>
        <w:t xml:space="preserve">(control section, mapped section, and</w:t>
      </w:r>
      <w:r>
        <w:t xml:space="preserve"> </w:t>
      </w:r>
      <w:r>
        <w:t xml:space="preserve">modification time). By convention the control section corresponds to the volume</w:t>
      </w:r>
      <w:r>
        <w:t xml:space="preserve"> </w:t>
      </w:r>
      <w:r>
        <w:t xml:space="preserve">side and the mapped section to the mosaic side.</w:t>
      </w:r>
    </w:p>
    <w:bookmarkEnd w:id="25"/>
    <w:bookmarkStart w:id="27" w:name="from-pairwise-to-global-registration"/>
    <w:p>
      <w:pPr>
        <w:pStyle w:val="Heading3"/>
      </w:pPr>
      <w:r>
        <w:t xml:space="preserve">3.3 From pairwise to global registration</w:t>
      </w:r>
    </w:p>
    <w:p>
      <w:pPr>
        <w:pStyle w:val="FirstParagraph"/>
      </w:pPr>
      <w:r>
        <w:t xml:space="preserve">VikingXML lists the pairwise STOS files. The</w:t>
      </w:r>
      <w:r>
        <w:t xml:space="preserve"> </w:t>
      </w:r>
      <w:r>
        <w:rPr>
          <w:rStyle w:val="VerbatimChar"/>
        </w:rPr>
        <w:t xml:space="preserve">RegistrationTree</w:t>
      </w:r>
      <w:r>
        <w:t xml:space="preserve"> </w:t>
      </w:r>
      <w:r>
        <w:t xml:space="preserve">(</w:t>
      </w:r>
      <w:hyperlink r:id="rId26">
        <w:r>
          <w:rPr>
            <w:rStyle w:val="VerbatimChar"/>
          </w:rPr>
          <w:t xml:space="preserve">Clients/VolumeModel/RegistrationTree.cs</w:t>
        </w:r>
      </w:hyperlink>
      <w:r>
        <w:t xml:space="preserve">)</w:t>
      </w:r>
      <w:r>
        <w:t xml:space="preserve"> </w:t>
      </w:r>
      <w:r>
        <w:t xml:space="preserve">arranges these pairwise relationships into a tree, and</w:t>
      </w:r>
      <w:r>
        <w:t xml:space="preserve"> </w:t>
      </w:r>
      <w:r>
        <w:rPr>
          <w:rStyle w:val="VerbatimChar"/>
        </w:rPr>
        <w:t xml:space="preserve">Volume.CreateVolumeTransforms</w:t>
      </w:r>
      <w:r>
        <w:t xml:space="preserve"> </w:t>
      </w:r>
      <w:r>
        <w:t xml:space="preserve">walks the tree to compose, for each section, the</w:t>
      </w:r>
      <w:r>
        <w:t xml:space="preserve"> </w:t>
      </w:r>
      <w:r>
        <w:t xml:space="preserve">chain of transforms that maps it into the volume reference frame. Composed</w:t>
      </w:r>
      <w:r>
        <w:t xml:space="preserve"> </w:t>
      </w:r>
      <w:r>
        <w:t xml:space="preserve">transforms are cached to disk to avoid recomputation. Tile rendering adds a</w:t>
      </w:r>
      <w:r>
        <w:t xml:space="preserve"> </w:t>
      </w:r>
      <w:r>
        <w:t xml:space="preserve">second warp stage:</w:t>
      </w:r>
      <w:r>
        <w:t xml:space="preserve"> </w:t>
      </w:r>
      <w:r>
        <w:rPr>
          <w:rStyle w:val="VerbatimChar"/>
        </w:rPr>
        <w:t xml:space="preserve">SectionToVolumeMapping</w:t>
      </w:r>
      <w:r>
        <w:t xml:space="preserve"> </w:t>
      </w:r>
      <w:r>
        <w:t xml:space="preserve">composes each per-tile mosaic</w:t>
      </w:r>
      <w:r>
        <w:t xml:space="preserve"> </w:t>
      </w:r>
      <w:r>
        <w:t xml:space="preserve">transform with the section’s STOS transform, so individual tiles are triangulated</w:t>
      </w:r>
      <w:r>
        <w:t xml:space="preserve"> </w:t>
      </w:r>
      <w:r>
        <w:t xml:space="preserve">through the registration rather than merely repositioned.</w:t>
      </w:r>
    </w:p>
    <w:bookmarkEnd w:id="27"/>
    <w:bookmarkStart w:id="29" w:name="Xeb93eafe48c84e1a1b8e6e680f801bca4852cf9"/>
    <w:p>
      <w:pPr>
        <w:pStyle w:val="Heading3"/>
      </w:pPr>
      <w:r>
        <w:t xml:space="preserve">3.4 Runtime conversion and the transform cache</w:t>
      </w:r>
    </w:p>
    <w:p>
      <w:pPr>
        <w:pStyle w:val="FirstParagraph"/>
      </w:pPr>
      <w:r>
        <w:t xml:space="preserve">At runtime, the interface</w:t>
      </w:r>
      <w:r>
        <w:t xml:space="preserve"> </w:t>
      </w:r>
      <w:r>
        <w:rPr>
          <w:rStyle w:val="VerbatimChar"/>
        </w:rPr>
        <w:t xml:space="preserve">IVolumeToSectionTransform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SectionToVolume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VolumeToSection</w:t>
      </w:r>
      <w:r>
        <w:t xml:space="preserve"> </w:t>
      </w:r>
      <w:r>
        <w:t xml:space="preserve">(with bounds-safe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variants). The client uses these to</w:t>
      </w:r>
      <w:r>
        <w:t xml:space="preserve"> </w:t>
      </w:r>
      <w:r>
        <w:t xml:space="preserve">convert the visible volume rectangle into mosaic-space bounds before querying the</w:t>
      </w:r>
      <w:r>
        <w:t xml:space="preserve"> </w:t>
      </w:r>
      <w:r>
        <w:t xml:space="preserve">database, and to place annotations correctly on screen.</w:t>
      </w:r>
    </w:p>
    <w:p>
      <w:pPr>
        <w:pStyle w:val="BodyText"/>
      </w:pPr>
      <w:r>
        <w:t xml:space="preserve">Composed transforms are serialized to a JSON cache by</w:t>
      </w:r>
      <w:r>
        <w:t xml:space="preserve"> </w:t>
      </w:r>
      <w:r>
        <w:rPr>
          <w:rStyle w:val="VerbatimChar"/>
        </w:rPr>
        <w:t xml:space="preserve">JsonTransformSerializer</w:t>
      </w:r>
      <w:r>
        <w:t xml:space="preserve"> </w:t>
      </w:r>
      <w:r>
        <w:t xml:space="preserve">(</w:t>
      </w:r>
      <w:hyperlink r:id="rId28">
        <w:r>
          <w:rPr>
            <w:rStyle w:val="VerbatimChar"/>
          </w:rPr>
          <w:t xml:space="preserve">Clients/VolumeModel/JsonTransformSerializer.cs</w:t>
        </w:r>
      </w:hyperlink>
      <w:r>
        <w:t xml:space="preserve">),</w:t>
      </w:r>
      <w:r>
        <w:t xml:space="preserve"> </w:t>
      </w:r>
      <w:r>
        <w:t xml:space="preserve">which replaced an older binary format. The serializer uses a polymorphic</w:t>
      </w:r>
      <w:r>
        <w:t xml:space="preserve"> </w:t>
      </w:r>
      <w:r>
        <w:t xml:space="preserve">converter to handle the transform class hierarchy. A 2026 revision separated the</w:t>
      </w:r>
      <w:r>
        <w:t xml:space="preserve"> </w:t>
      </w:r>
      <w:r>
        <w:t xml:space="preserve">read and write option sets so that deserialization does not re-enter the</w:t>
      </w:r>
      <w:r>
        <w:t xml:space="preserve"> </w:t>
      </w:r>
      <w:r>
        <w:t xml:space="preserve">computed-property converter, eliminating a stack overflow that occurred when</w:t>
      </w:r>
      <w:r>
        <w:t xml:space="preserve"> </w:t>
      </w:r>
      <w:r>
        <w:t xml:space="preserve">large cached section mappings were loaded on section change.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annotation-workflow"/>
    <w:p>
      <w:pPr>
        <w:pStyle w:val="Heading2"/>
      </w:pPr>
      <w:r>
        <w:t xml:space="preserve">4. The annotation workflow</w:t>
      </w:r>
    </w:p>
    <w:p>
      <w:pPr>
        <w:pStyle w:val="FirstParagraph"/>
      </w:pPr>
      <w:r>
        <w:t xml:space="preserve">The 2009 paper described annotation as a roughly twelve-step manual process of</w:t>
      </w:r>
      <w:r>
        <w:t xml:space="preserve"> </w:t>
      </w:r>
      <w:r>
        <w:t xml:space="preserve">marking structures section by section. That basic loop remains, but the</w:t>
      </w:r>
      <w:r>
        <w:t xml:space="preserve"> </w:t>
      </w:r>
      <w:r>
        <w:t xml:space="preserve">mechanics have changed in three important ways: annotations are loaded by spatial</w:t>
      </w:r>
      <w:r>
        <w:t xml:space="preserve"> </w:t>
      </w:r>
      <w:r>
        <w:t xml:space="preserve">region rather than by whole section; structures and locations are first-class</w:t>
      </w:r>
      <w:r>
        <w:t xml:space="preserve"> </w:t>
      </w:r>
      <w:r>
        <w:t xml:space="preserve">linked entities; and adjacent sections are displayed simultaneously to support</w:t>
      </w:r>
      <w:r>
        <w:t xml:space="preserve"> </w:t>
      </w:r>
      <w:r>
        <w:t xml:space="preserve">tracing continuity.</w:t>
      </w:r>
    </w:p>
    <w:p>
      <w:pPr>
        <w:pStyle w:val="BodyText"/>
      </w:pPr>
      <w:r>
        <w:t xml:space="preserve">An annotator navigates to a section, and the client loads the structures and</w:t>
      </w:r>
      <w:r>
        <w:t xml:space="preserve"> </w:t>
      </w:r>
      <w:r>
        <w:t xml:space="preserve">locations whose footprints intersect the current viewport. New annotations are</w:t>
      </w:r>
      <w:r>
        <w:t xml:space="preserve"> </w:t>
      </w:r>
      <w:r>
        <w:t xml:space="preserve">drawn with a markup tool appropriate to the structure type (a point, a line, or a</w:t>
      </w:r>
      <w:r>
        <w:t xml:space="preserve"> </w:t>
      </w:r>
      <w:r>
        <w:t xml:space="preserve">polygon). As a process is traced from section to section, successive footprints</w:t>
      </w:r>
      <w:r>
        <w:t xml:space="preserve"> </w:t>
      </w:r>
      <w:r>
        <w:t xml:space="preserve">are linked to express physical continuity, and connections between distinct</w:t>
      </w:r>
      <w:r>
        <w:t xml:space="preserve"> </w:t>
      </w:r>
      <w:r>
        <w:t xml:space="preserve">structures (for example, a synapse between two cells) are expressed as structure</w:t>
      </w:r>
      <w:r>
        <w:t xml:space="preserve"> </w:t>
      </w:r>
      <w:r>
        <w:t xml:space="preserve">links. The following sections describe the data model and client that make this</w:t>
      </w:r>
      <w:r>
        <w:t xml:space="preserve"> </w:t>
      </w:r>
      <w:r>
        <w:t xml:space="preserve">workflow efficient at scale.</w:t>
      </w:r>
    </w:p>
    <w:p>
      <w:r>
        <w:pict>
          <v:rect style="width:0;height:1.5pt" o:hralign="center" o:hrstd="t" o:hr="t"/>
        </w:pict>
      </w:r>
    </w:p>
    <w:bookmarkEnd w:id="31"/>
    <w:bookmarkStart w:id="42" w:name="annotation-data-model"/>
    <w:p>
      <w:pPr>
        <w:pStyle w:val="Heading2"/>
      </w:pPr>
      <w:r>
        <w:t xml:space="preserve">5. Annotation data model</w:t>
      </w:r>
    </w:p>
    <w:bookmarkStart w:id="34" w:name="core-entities"/>
    <w:p>
      <w:pPr>
        <w:pStyle w:val="Heading3"/>
      </w:pPr>
      <w:r>
        <w:t xml:space="preserve">5.1 Core entities</w:t>
      </w:r>
    </w:p>
    <w:p>
      <w:pPr>
        <w:pStyle w:val="FirstParagraph"/>
      </w:pPr>
      <w:r>
        <w:t xml:space="preserve">The annotation database is built around four entities, defined in</w:t>
      </w:r>
      <w:r>
        <w:t xml:space="preserve"> </w:t>
      </w:r>
      <w:hyperlink r:id="rId32">
        <w:r>
          <w:rPr>
            <w:rStyle w:val="VerbatimChar"/>
          </w:rPr>
          <w:t xml:space="preserve">Servers/ConnectomeDataModelCore/</w:t>
        </w:r>
      </w:hyperlink>
      <w:r>
        <w:t xml:space="preserve"> </w:t>
      </w:r>
      <w:r>
        <w:t xml:space="preserve">and mirrored on the client in</w:t>
      </w:r>
      <w:r>
        <w:t xml:space="preserve"> </w:t>
      </w:r>
      <w:hyperlink r:id="rId33">
        <w:r>
          <w:rPr>
            <w:rStyle w:val="VerbatimChar"/>
          </w:rPr>
          <w:t xml:space="preserve">Clients/WebAnnotationModel/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</w:t>
      </w:r>
      <w:r>
        <w:t xml:space="preserve"> </w:t>
      </w:r>
      <w:r>
        <w:t xml:space="preserve">– a logical biological object: a cell, a process, an organelle,</w:t>
      </w:r>
      <w:r>
        <w:t xml:space="preserve"> </w:t>
      </w:r>
      <w:r>
        <w:t xml:space="preserve">or a synapse. A structure has a</w:t>
      </w:r>
      <w:r>
        <w:t xml:space="preserve"> </w:t>
      </w:r>
      <w:r>
        <w:rPr>
          <w:rStyle w:val="VerbatimChar"/>
        </w:rPr>
        <w:t xml:space="preserve">StructureType</w:t>
      </w:r>
      <w:r>
        <w:t xml:space="preserve"> </w:t>
      </w:r>
      <w:r>
        <w:t xml:space="preserve">and may have a parent</w:t>
      </w:r>
      <w:r>
        <w:t xml:space="preserve"> </w:t>
      </w:r>
      <w:r>
        <w:t xml:space="preserve">structure, which is how, for example, a synapse is modeled as a child of the</w:t>
      </w:r>
      <w:r>
        <w:t xml:space="preserve"> </w:t>
      </w:r>
      <w:r>
        <w:t xml:space="preserve">cell that contains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– the two-dimensional footprint of a structure on a single</w:t>
      </w:r>
      <w:r>
        <w:t xml:space="preserve"> </w:t>
      </w:r>
      <w:r>
        <w:t xml:space="preserve">section. Locations carry shape information and flags such as terminal (the end</w:t>
      </w:r>
      <w:r>
        <w:t xml:space="preserve"> </w:t>
      </w:r>
      <w:r>
        <w:t xml:space="preserve">of a process) and off-edge (the process leaves the imaged volume).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StructureLink</w:t>
      </w:r>
      <w:r>
        <w:t xml:space="preserve"> </w:t>
      </w:r>
      <w:r>
        <w:t xml:space="preserve">– a connectivity edge between two structures, directional or</w:t>
      </w:r>
      <w:r>
        <w:t xml:space="preserve"> </w:t>
      </w:r>
      <w:r>
        <w:t xml:space="preserve">bidirectional; this is the substrate of the connectome graph.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LocationLink</w:t>
      </w:r>
      <w:r>
        <w:t xml:space="preserve"> </w:t>
      </w:r>
      <w:r>
        <w:t xml:space="preserve">– a continuity link between two locations, typically on</w:t>
      </w:r>
      <w:r>
        <w:t xml:space="preserve"> </w:t>
      </w:r>
      <w:r>
        <w:t xml:space="preserve">adjacent sections, expressing that they are the same process traced across the</w:t>
      </w:r>
      <w:r>
        <w:t xml:space="preserve"> </w:t>
      </w:r>
      <w:r>
        <w:t xml:space="preserve">cut.</w:t>
      </w:r>
    </w:p>
    <w:bookmarkEnd w:id="34"/>
    <w:bookmarkStart w:id="37" w:name="types-markup-and-permitted-links"/>
    <w:p>
      <w:pPr>
        <w:pStyle w:val="Heading3"/>
      </w:pPr>
      <w:r>
        <w:t xml:space="preserve">5.2 Types, markup, and permitted links</w:t>
      </w:r>
    </w:p>
    <w:p>
      <w:pPr>
        <w:pStyle w:val="FirstParagraph"/>
      </w:pPr>
      <w:r>
        <w:t xml:space="preserve">Each structure has a</w:t>
      </w:r>
      <w:r>
        <w:t xml:space="preserve"> </w:t>
      </w:r>
      <w:r>
        <w:rPr>
          <w:rStyle w:val="VerbatimChar"/>
        </w:rPr>
        <w:t xml:space="preserve">StructureType</w:t>
      </w:r>
      <w:r>
        <w:t xml:space="preserve"> </w:t>
      </w:r>
      <w:r>
        <w:t xml:space="preserve">(</w:t>
      </w:r>
      <w:hyperlink r:id="rId35">
        <w:r>
          <w:rPr>
            <w:rStyle w:val="VerbatimChar"/>
          </w:rPr>
          <w:t xml:space="preserve">Clients/WebAnnotationModel/Objects/StructureTypeObj.cs</w:t>
        </w:r>
      </w:hyperlink>
      <w:r>
        <w:t xml:space="preserve">)</w:t>
      </w:r>
      <w:r>
        <w:t xml:space="preserve"> </w:t>
      </w:r>
      <w:r>
        <w:t xml:space="preserve">that defines its name, code, display color, hotkey, and default markup geometry</w:t>
      </w:r>
      <w:r>
        <w:t xml:space="preserve"> </w:t>
      </w:r>
      <w:r>
        <w:t xml:space="preserve">(point, line, or polygon). Structure types form their own parent/child hierarchy.</w:t>
      </w:r>
      <w:r>
        <w:t xml:space="preserve"> </w:t>
      </w:r>
      <w:r>
        <w:t xml:space="preserve">To keep annotation biologically meaningful, the schema records</w:t>
      </w:r>
      <w:r>
        <w:t xml:space="preserve"> </w:t>
      </w:r>
      <w:r>
        <w:rPr>
          <w:i/>
          <w:iCs/>
        </w:rPr>
        <w:t xml:space="preserve">permitted</w:t>
      </w:r>
      <w:r>
        <w:t xml:space="preserve"> </w:t>
      </w:r>
      <w:r>
        <w:t xml:space="preserve">structure links: which source type may connect to which target type, and in which</w:t>
      </w:r>
      <w:r>
        <w:t xml:space="preserve"> </w:t>
      </w:r>
      <w:r>
        <w:t xml:space="preserve">direction</w:t>
      </w:r>
      <w:r>
        <w:t xml:space="preserve"> </w:t>
      </w:r>
      <w:r>
        <w:t xml:space="preserve">(</w:t>
      </w:r>
      <w:hyperlink r:id="rId36">
        <w:r>
          <w:rPr>
            <w:rStyle w:val="VerbatimChar"/>
          </w:rPr>
          <w:t xml:space="preserve">Clients/WebAnnotationModel/Objects/PermittedStructureLinkObj.cs</w:t>
        </w:r>
      </w:hyperlink>
      <w:r>
        <w:t xml:space="preserve">).</w:t>
      </w:r>
      <w:r>
        <w:t xml:space="preserve"> </w:t>
      </w:r>
      <w:r>
        <w:t xml:space="preserve">The client uses these constraints to validate connections as they are drawn.</w:t>
      </w:r>
    </w:p>
    <w:bookmarkEnd w:id="37"/>
    <w:bookmarkStart w:id="40" w:name="spatial-geometry"/>
    <w:p>
      <w:pPr>
        <w:pStyle w:val="Heading3"/>
      </w:pPr>
      <w:r>
        <w:t xml:space="preserve">5.3 Spatial geometry</w:t>
      </w:r>
    </w:p>
    <w:p>
      <w:pPr>
        <w:pStyle w:val="FirstParagraph"/>
      </w:pPr>
      <w:r>
        <w:t xml:space="preserve">The most consequential schema change since 2009 is the migration of annotation</w:t>
      </w:r>
      <w:r>
        <w:t xml:space="preserve"> </w:t>
      </w:r>
      <w:r>
        <w:t xml:space="preserve">geometry to native SQL Server spatial types. Before August 2015, a footprint was</w:t>
      </w:r>
      <w:r>
        <w:t xml:space="preserve"> </w:t>
      </w:r>
      <w:r>
        <w:t xml:space="preserve">stored as scalar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 </w:t>
      </w:r>
      <w:r>
        <w:t xml:space="preserve">columns plus a vertex list for polygons.</w:t>
      </w:r>
      <w:r>
        <w:t xml:space="preserve"> </w:t>
      </w:r>
      <w:r>
        <w:t xml:space="preserve">On 19 August 2015 (database schema versions 24 and 25, commit</w:t>
      </w:r>
      <w:r>
        <w:t xml:space="preserve"> </w:t>
      </w:r>
      <w:r>
        <w:rPr>
          <w:rStyle w:val="VerbatimChar"/>
        </w:rPr>
        <w:t xml:space="preserve">ffe9cceb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table gained two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MosaicShape</w:t>
      </w:r>
      <w:r>
        <w:t xml:space="preserve"> </w:t>
      </w:r>
      <w:r>
        <w:t xml:space="preserve">– the footprint in mosaic (section) space.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VolumeShape</w:t>
      </w:r>
      <w:r>
        <w:t xml:space="preserve"> </w:t>
      </w:r>
      <w:r>
        <w:t xml:space="preserve">– the footprint in registered volume space.</w:t>
      </w:r>
    </w:p>
    <w:p>
      <w:pPr>
        <w:pStyle w:val="FirstParagraph"/>
      </w:pPr>
      <w:r>
        <w:t xml:space="preserve">Circular footprints were converted to</w:t>
      </w:r>
      <w:r>
        <w:t xml:space="preserve"> </w:t>
      </w:r>
      <w:r>
        <w:rPr>
          <w:rStyle w:val="VerbatimChar"/>
        </w:rPr>
        <w:t xml:space="preserve">CURVEPOLYGON(CIRCULARSTRING(...))</w:t>
      </w:r>
      <w:r>
        <w:t xml:space="preserve"> </w:t>
      </w:r>
      <w:r>
        <w:t xml:space="preserve">and</w:t>
      </w:r>
      <w:r>
        <w:t xml:space="preserve"> </w:t>
      </w:r>
      <w:r>
        <w:t xml:space="preserve">point footprints to</w:t>
      </w:r>
      <w:r>
        <w:t xml:space="preserve"> </w:t>
      </w:r>
      <w:r>
        <w:rPr>
          <w:rStyle w:val="VerbatimChar"/>
        </w:rPr>
        <w:t xml:space="preserve">POINT(...)</w:t>
      </w:r>
      <w:r>
        <w:t xml:space="preserve">. The scalar centroid columns were retained as</w:t>
      </w:r>
      <w:r>
        <w:t xml:space="preserve"> </w:t>
      </w:r>
      <w:r>
        <w:t xml:space="preserve">persisted computed columns derived from the geometry, for example: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ISNULL(MosaicShape.STCentroid().STX, ISNULL(MosaicShape.STX,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PERSISTED</w:t>
      </w:r>
    </w:p>
    <w:p>
      <w:pPr>
        <w:pStyle w:val="FirstParagraph"/>
      </w:pPr>
      <w:r>
        <w:t xml:space="preserve">The full migration is in</w:t>
      </w:r>
      <w:r>
        <w:t xml:space="preserve"> </w:t>
      </w:r>
      <w:hyperlink r:id="rId38">
        <w:r>
          <w:rPr>
            <w:rStyle w:val="VerbatimChar"/>
          </w:rPr>
          <w:t xml:space="preserve">Servers/SQL/DatabaseCreateUpdate/CreateUpdateDatabase.sql</w:t>
        </w:r>
      </w:hyperlink>
      <w:r>
        <w:t xml:space="preserve"> </w:t>
      </w:r>
      <w:r>
        <w:t xml:space="preserve">(version 24 and 25 blocks, approximately lines 2368-2440), and is described for</w:t>
      </w:r>
      <w:r>
        <w:t xml:space="preserve"> </w:t>
      </w:r>
      <w:r>
        <w:t xml:space="preserve">citation in</w:t>
      </w:r>
      <w:r>
        <w:t xml:space="preserve"> </w:t>
      </w:r>
      <w:hyperlink r:id="rId39">
        <w:r>
          <w:rPr>
            <w:rStyle w:val="VerbatimChar"/>
          </w:rPr>
          <w:t xml:space="preserve">spatial-columns-factsheet.md</w:t>
        </w:r>
      </w:hyperlink>
      <w:r>
        <w:t xml:space="preserve">. A</w:t>
      </w:r>
      <w:r>
        <w:t xml:space="preserve"> </w:t>
      </w:r>
      <w:r>
        <w:t xml:space="preserve">spatial index was added a week later (26 August 2015), and queries were updated to</w:t>
      </w:r>
      <w:r>
        <w:t xml:space="preserve"> </w:t>
      </w:r>
      <w:r>
        <w:t xml:space="preserve">operate in either mosaic or volume coordinates in March 2016. Storing geometry</w:t>
      </w:r>
      <w:r>
        <w:t xml:space="preserve"> </w:t>
      </w:r>
      <w:r>
        <w:t xml:space="preserve">natively is what makes region-based annotation loading (Section 6.2) efficient,</w:t>
      </w:r>
      <w:r>
        <w:t xml:space="preserve"> </w:t>
      </w:r>
      <w:r>
        <w:t xml:space="preserve">because the database can answer</w:t>
      </w:r>
      <w:r>
        <w:t xml:space="preserve"> </w:t>
      </w:r>
      <w:r>
        <w:t xml:space="preserve">“which footprints intersect this rectangle on this</w:t>
      </w:r>
      <w:r>
        <w:t xml:space="preserve"> </w:t>
      </w:r>
      <w:r>
        <w:t xml:space="preserve">section”</w:t>
      </w:r>
      <w:r>
        <w:t xml:space="preserve"> </w:t>
      </w:r>
      <w:r>
        <w:t xml:space="preserve">using a spatial index rather than a full scan.</w:t>
      </w:r>
    </w:p>
    <w:bookmarkEnd w:id="40"/>
    <w:bookmarkStart w:id="41" w:name="schema-versioning-and-change-tracking"/>
    <w:p>
      <w:pPr>
        <w:pStyle w:val="Heading3"/>
      </w:pPr>
      <w:r>
        <w:t xml:space="preserve">5.4 Schema versioning and change tracking</w:t>
      </w:r>
    </w:p>
    <w:p>
      <w:pPr>
        <w:pStyle w:val="FirstParagraph"/>
      </w:pPr>
      <w:r>
        <w:t xml:space="preserve">The database is created and upgraded by a single idempotent script that applies</w:t>
      </w:r>
      <w:r>
        <w:t xml:space="preserve"> </w:t>
      </w:r>
      <w:r>
        <w:t xml:space="preserve">numbered migrations and records each in a</w:t>
      </w:r>
      <w:r>
        <w:t xml:space="preserve"> </w:t>
      </w:r>
      <w:r>
        <w:rPr>
          <w:rStyle w:val="VerbatimChar"/>
        </w:rPr>
        <w:t xml:space="preserve">DBVersion</w:t>
      </w:r>
      <w:r>
        <w:t xml:space="preserve"> </w:t>
      </w:r>
      <w:r>
        <w:t xml:space="preserve">table; the script currently</w:t>
      </w:r>
      <w:r>
        <w:t xml:space="preserve"> </w:t>
      </w:r>
      <w:r>
        <w:t xml:space="preserve">reaches version 83. Change Data Capture is enabled on annotation tables, which</w:t>
      </w:r>
      <w:r>
        <w:t xml:space="preserve"> </w:t>
      </w:r>
      <w:r>
        <w:t xml:space="preserve">supports auditing and downstream replication. Region queries are served by</w:t>
      </w:r>
      <w:r>
        <w:t xml:space="preserve"> </w:t>
      </w:r>
      <w:r>
        <w:t xml:space="preserve">stored procedures such as</w:t>
      </w:r>
      <w:r>
        <w:t xml:space="preserve"> </w:t>
      </w:r>
      <w:r>
        <w:rPr>
          <w:rStyle w:val="VerbatimChar"/>
        </w:rPr>
        <w:t xml:space="preserve">SelectSectionLocationsAndLinksInMosaicBounds</w:t>
      </w:r>
      <w:r>
        <w:t xml:space="preserve">, which</w:t>
      </w:r>
      <w:r>
        <w:t xml:space="preserve"> </w:t>
      </w:r>
      <w:r>
        <w:t xml:space="preserve">returns the locations and links within a bounding box on a section as of a given</w:t>
      </w:r>
      <w:r>
        <w:t xml:space="preserve"> </w:t>
      </w:r>
      <w:r>
        <w:t xml:space="preserve">query time, enabling consistent reads while other annotators are editing.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viking-client-architecture"/>
    <w:p>
      <w:pPr>
        <w:pStyle w:val="Heading2"/>
      </w:pPr>
      <w:r>
        <w:t xml:space="preserve">6. Viking client architecture</w:t>
      </w:r>
    </w:p>
    <w:bookmarkStart w:id="45" w:name="rendering-and-navigation"/>
    <w:p>
      <w:pPr>
        <w:pStyle w:val="Heading3"/>
      </w:pPr>
      <w:r>
        <w:t xml:space="preserve">6.1 Rendering and navigation</w:t>
      </w:r>
    </w:p>
    <w:p>
      <w:pPr>
        <w:pStyle w:val="FirstParagraph"/>
      </w:pPr>
      <w:r>
        <w:t xml:space="preserve">The client has been rebuilt on the MonoGame/XNA real-time graphics stack, with a</w:t>
      </w:r>
      <w:r>
        <w:t xml:space="preserve"> </w:t>
      </w:r>
      <w:r>
        <w:t xml:space="preserve">shared graphics library</w:t>
      </w:r>
      <w:r>
        <w:t xml:space="preserve"> </w:t>
      </w:r>
      <w:r>
        <w:t xml:space="preserve">(</w:t>
      </w:r>
      <w:hyperlink r:id="rId43">
        <w:r>
          <w:rPr>
            <w:rStyle w:val="VerbatimChar"/>
          </w:rPr>
          <w:t xml:space="preserve">Clients/MonogameXNAGraphicsShared/</w:t>
        </w:r>
      </w:hyperlink>
      <w:r>
        <w:t xml:space="preserve">)</w:t>
      </w:r>
      <w:r>
        <w:t xml:space="preserve"> </w:t>
      </w:r>
      <w:r>
        <w:t xml:space="preserve">reused across tools. The section viewer</w:t>
      </w:r>
      <w:r>
        <w:t xml:space="preserve"> </w:t>
      </w:r>
      <w:r>
        <w:t xml:space="preserve">(</w:t>
      </w:r>
      <w:hyperlink r:id="rId44">
        <w:r>
          <w:rPr>
            <w:rStyle w:val="VerbatimChar"/>
          </w:rPr>
          <w:t xml:space="preserve">Clients/Viking/NGVV/UI/Controls/SectionViewerControl.cs</w:t>
        </w:r>
      </w:hyperlink>
      <w:r>
        <w:t xml:space="preserve">)</w:t>
      </w:r>
      <w:r>
        <w:t xml:space="preserve"> </w:t>
      </w:r>
      <w:r>
        <w:t xml:space="preserve">pages through sections in volume order, preloading the immediately adjacent</w:t>
      </w:r>
      <w:r>
        <w:t xml:space="preserve"> </w:t>
      </w:r>
      <w:r>
        <w:t xml:space="preserve">sections, and supports keyboard, mouse, and pen input for stepping and zooming.</w:t>
      </w:r>
      <w:r>
        <w:t xml:space="preserve"> </w:t>
      </w:r>
      <w:r>
        <w:t xml:space="preserve">Users designate reference sections above and below the current one, which drives</w:t>
      </w:r>
      <w:r>
        <w:t xml:space="preserve"> </w:t>
      </w:r>
      <w:r>
        <w:t xml:space="preserve">the adjacent-section overlays used during tracing.</w:t>
      </w:r>
    </w:p>
    <w:bookmarkEnd w:id="45"/>
    <w:bookmarkStart w:id="47" w:name="region-based-annotation-loading"/>
    <w:p>
      <w:pPr>
        <w:pStyle w:val="Heading3"/>
      </w:pPr>
      <w:r>
        <w:t xml:space="preserve">6.2 Region-based annotation loading</w:t>
      </w:r>
    </w:p>
    <w:p>
      <w:pPr>
        <w:pStyle w:val="FirstParagraph"/>
      </w:pPr>
      <w:r>
        <w:t xml:space="preserve">Rather than loading all annotations on a section, the client loads only those</w:t>
      </w:r>
      <w:r>
        <w:t xml:space="preserve"> </w:t>
      </w:r>
      <w:r>
        <w:t xml:space="preserve">within the current view. The</w:t>
      </w:r>
      <w:r>
        <w:t xml:space="preserve"> </w:t>
      </w:r>
      <w:r>
        <w:rPr>
          <w:rStyle w:val="VerbatimChar"/>
        </w:rPr>
        <w:t xml:space="preserve">RegionLoader</w:t>
      </w:r>
      <w:r>
        <w:t xml:space="preserve"> </w:t>
      </w:r>
      <w:r>
        <w:t xml:space="preserve">(</w:t>
      </w:r>
      <w:hyperlink r:id="rId46">
        <w:r>
          <w:rPr>
            <w:rStyle w:val="VerbatimChar"/>
          </w:rPr>
          <w:t xml:space="preserve">Clients/WebAnnotationModel/RegionLoader/RegionLoader.cs</w:t>
        </w:r>
      </w:hyperlink>
      <w:r>
        <w:t xml:space="preserve">)</w:t>
      </w:r>
      <w:r>
        <w:t xml:space="preserve"> </w:t>
      </w:r>
      <w:r>
        <w:t xml:space="preserve">divides space into a pyramid of grid cells and issues asynchronous queries per</w:t>
      </w:r>
      <w:r>
        <w:t xml:space="preserve"> </w:t>
      </w:r>
      <w:r>
        <w:t xml:space="preserve">cell as the view changes, refreshing on an interval so that other annotators’</w:t>
      </w:r>
      <w:r>
        <w:t xml:space="preserve"> </w:t>
      </w:r>
      <w:r>
        <w:t xml:space="preserve">edits appear. The visible volume rectangle is converted to mosaic-space bounds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IVolumeToSectionTransform</w:t>
      </w:r>
      <w:r>
        <w:t xml:space="preserve">, the bounds query is sent to the server, and</w:t>
      </w:r>
      <w:r>
        <w:t xml:space="preserve"> </w:t>
      </w:r>
      <w:r>
        <w:t xml:space="preserve">results are held locally in an R-tree for fast intersection and radius tests. The</w:t>
      </w:r>
      <w:r>
        <w:t xml:space="preserve"> </w:t>
      </w:r>
      <w:r>
        <w:t xml:space="preserve">overlay loads not only the current section but a configurable window of nearby</w:t>
      </w:r>
      <w:r>
        <w:t xml:space="preserve"> </w:t>
      </w:r>
      <w:r>
        <w:t xml:space="preserve">sections, prioritized by distance from the current depth.</w:t>
      </w:r>
    </w:p>
    <w:bookmarkEnd w:id="47"/>
    <w:bookmarkStart w:id="49" w:name="rendering-annotations"/>
    <w:p>
      <w:pPr>
        <w:pStyle w:val="Heading3"/>
      </w:pPr>
      <w:r>
        <w:t xml:space="preserve">6.3 Rendering annotations</w:t>
      </w:r>
    </w:p>
    <w:p>
      <w:pPr>
        <w:pStyle w:val="FirstParagraph"/>
      </w:pPr>
      <w:r>
        <w:t xml:space="preserve">Annotations are drawn by an overlay</w:t>
      </w:r>
      <w:r>
        <w:t xml:space="preserve"> </w:t>
      </w:r>
      <w:r>
        <w:t xml:space="preserve">(</w:t>
      </w:r>
      <w:hyperlink r:id="rId48">
        <w:r>
          <w:rPr>
            <w:rStyle w:val="VerbatimChar"/>
          </w:rPr>
          <w:t xml:space="preserve">Clients/Viking/WebAnnotation/UI/AnnotationOverlay.cs</w:t>
        </w:r>
      </w:hyperlink>
      <w:r>
        <w:t xml:space="preserve">)</w:t>
      </w:r>
      <w:r>
        <w:t xml:space="preserve"> </w:t>
      </w:r>
      <w:r>
        <w:t xml:space="preserve">that composes several view layers: filled and outlined footprints on the current</w:t>
      </w:r>
      <w:r>
        <w:t xml:space="preserve"> </w:t>
      </w:r>
      <w:r>
        <w:t xml:space="preserve">section; footprints from adjacent sections shown with distinct styling so an</w:t>
      </w:r>
      <w:r>
        <w:t xml:space="preserve"> </w:t>
      </w:r>
      <w:r>
        <w:t xml:space="preserve">annotator can follow a process across the cut; location links that connect a</w:t>
      </w:r>
      <w:r>
        <w:t xml:space="preserve"> </w:t>
      </w:r>
      <w:r>
        <w:t xml:space="preserve">footprint to its continuation on the neighboring section; structure links drawn</w:t>
      </w:r>
      <w:r>
        <w:t xml:space="preserve"> </w:t>
      </w:r>
      <w:r>
        <w:t xml:space="preserve">between connected structures; and text labels. A depth/stencil pass ensures that</w:t>
      </w:r>
      <w:r>
        <w:t xml:space="preserve"> </w:t>
      </w:r>
      <w:r>
        <w:t xml:space="preserve">annotation fills do not obscure the underlying electron micrograph.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2" w:name="server-infrastructure-and-apis"/>
    <w:p>
      <w:pPr>
        <w:pStyle w:val="Heading2"/>
      </w:pPr>
      <w:r>
        <w:t xml:space="preserve">7. Server infrastructure and APIs</w:t>
      </w:r>
    </w:p>
    <w:bookmarkStart w:id="54" w:name="annotation-service-wcf-and-grpc"/>
    <w:p>
      <w:pPr>
        <w:pStyle w:val="Heading3"/>
      </w:pPr>
      <w:r>
        <w:t xml:space="preserve">7.1 Annotation service (WCF and gRPC)</w:t>
      </w:r>
    </w:p>
    <w:p>
      <w:pPr>
        <w:pStyle w:val="FirstParagraph"/>
      </w:pPr>
      <w:r>
        <w:t xml:space="preserve">Annotations are read and written through a service layer. The established</w:t>
      </w:r>
      <w:r>
        <w:t xml:space="preserve"> </w:t>
      </w:r>
      <w:r>
        <w:t xml:space="preserve">implementation is a WCF service</w:t>
      </w:r>
      <w:r>
        <w:t xml:space="preserve"> </w:t>
      </w:r>
      <w:r>
        <w:t xml:space="preserve">(</w:t>
      </w:r>
      <w:hyperlink r:id="rId51">
        <w:r>
          <w:rPr>
            <w:rStyle w:val="VerbatimChar"/>
          </w:rPr>
          <w:t xml:space="preserve">Servers/AnnotationService/</w:t>
        </w:r>
      </w:hyperlink>
      <w:r>
        <w:t xml:space="preserve">) exposing</w:t>
      </w:r>
      <w:r>
        <w:t xml:space="preserve"> </w:t>
      </w:r>
      <w:r>
        <w:t xml:space="preserve">contracts for structures, structure types, locations, permitted links, circuit</w:t>
      </w:r>
      <w:r>
        <w:t xml:space="preserve"> </w:t>
      </w:r>
      <w:r>
        <w:t xml:space="preserve">queries, and volume metadata, with role-based authorization (Read, Write,</w:t>
      </w:r>
      <w:r>
        <w:t xml:space="preserve"> </w:t>
      </w:r>
      <w:r>
        <w:t xml:space="preserve">Annotate, Review, Modify). A gRPC replacement is under active development</w:t>
      </w:r>
      <w:r>
        <w:t xml:space="preserve"> </w:t>
      </w:r>
      <w:r>
        <w:t xml:space="preserve">(</w:t>
      </w:r>
      <w:hyperlink r:id="rId52">
        <w:r>
          <w:rPr>
            <w:rStyle w:val="VerbatimChar"/>
          </w:rPr>
          <w:t xml:space="preserve">Servers/GrpcAnnotationService/</w:t>
        </w:r>
      </w:hyperlink>
      <w:r>
        <w:t xml:space="preserve">),</w:t>
      </w:r>
      <w:r>
        <w:t xml:space="preserve"> </w:t>
      </w:r>
      <w:r>
        <w:t xml:space="preserve">with protocol definitions for the same domain under</w:t>
      </w:r>
      <w:r>
        <w:t xml:space="preserve"> </w:t>
      </w:r>
      <w:hyperlink r:id="rId53">
        <w:r>
          <w:rPr>
            <w:rStyle w:val="VerbatimChar"/>
          </w:rPr>
          <w:t xml:space="preserve">gRPCAnnotationServiceTypes/Protos/</w:t>
        </w:r>
      </w:hyperlink>
      <w:r>
        <w:t xml:space="preserve">.</w:t>
      </w:r>
      <w:r>
        <w:t xml:space="preserve"> </w:t>
      </w:r>
      <w:r>
        <w:t xml:space="preserve">The migration to gRPC is ongoing; both services target the same database.</w:t>
      </w:r>
    </w:p>
    <w:bookmarkEnd w:id="54"/>
    <w:bookmarkStart w:id="56" w:name="odata-read-api"/>
    <w:p>
      <w:pPr>
        <w:pStyle w:val="Heading3"/>
      </w:pPr>
      <w:r>
        <w:t xml:space="preserve">7.2 OData read API</w:t>
      </w:r>
    </w:p>
    <w:p>
      <w:pPr>
        <w:pStyle w:val="FirstParagraph"/>
      </w:pPr>
      <w:r>
        <w:t xml:space="preserve">For programmatic analysis, the platform exposes an OData v4 read API</w:t>
      </w:r>
      <w:r>
        <w:t xml:space="preserve"> </w:t>
      </w:r>
      <w:r>
        <w:t xml:space="preserve">(</w:t>
      </w:r>
      <w:hyperlink r:id="rId55">
        <w:r>
          <w:rPr>
            <w:rStyle w:val="VerbatimChar"/>
          </w:rPr>
          <w:t xml:space="preserve">Servers/ConnectomeODataV4/</w:t>
        </w:r>
      </w:hyperlink>
      <w:r>
        <w:t xml:space="preserve">). It</w:t>
      </w:r>
      <w:r>
        <w:t xml:space="preserve"> </w:t>
      </w:r>
      <w:r>
        <w:t xml:space="preserve">publishes entity sets for structure types, structures, locations, structure</w:t>
      </w:r>
      <w:r>
        <w:t xml:space="preserve"> </w:t>
      </w:r>
      <w:r>
        <w:t xml:space="preserve">links, permitted structure links, location links, and spatial caches, and it</w:t>
      </w:r>
      <w:r>
        <w:t xml:space="preserve"> </w:t>
      </w:r>
      <w:r>
        <w:t xml:space="preserve">offers bound functions for connectivity analysis, including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(the</w:t>
      </w:r>
      <w:r>
        <w:t xml:space="preserve"> </w:t>
      </w:r>
      <w:r>
        <w:t xml:space="preserve">subgraph reachable from a set of structures within a number of hops),</w:t>
      </w:r>
      <w:r>
        <w:t xml:space="preserve"> </w:t>
      </w:r>
      <w:r>
        <w:rPr>
          <w:rStyle w:val="VerbatimChar"/>
        </w:rPr>
        <w:t xml:space="preserve">NetworkLinks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(the physical scale of the volume). This API is the</w:t>
      </w:r>
      <w:r>
        <w:t xml:space="preserve"> </w:t>
      </w:r>
      <w:r>
        <w:t xml:space="preserve">primary entry point for the morphology and network pipeline described in</w:t>
      </w:r>
      <w:r>
        <w:t xml:space="preserve"> </w:t>
      </w:r>
      <w:r>
        <w:t xml:space="preserve">Section 9, and it is well suited to external analysis code, including a</w:t>
      </w:r>
      <w:r>
        <w:t xml:space="preserve"> </w:t>
      </w:r>
      <w:r>
        <w:t xml:space="preserve">collaborator’s 3D connectome analysis.</w:t>
      </w:r>
    </w:p>
    <w:bookmarkEnd w:id="56"/>
    <w:bookmarkStart w:id="58" w:name="export-service"/>
    <w:p>
      <w:pPr>
        <w:pStyle w:val="Heading3"/>
      </w:pPr>
      <w:r>
        <w:t xml:space="preserve">7.3 Export service</w:t>
      </w:r>
    </w:p>
    <w:p>
      <w:pPr>
        <w:pStyle w:val="FirstParagraph"/>
      </w:pPr>
      <w:r>
        <w:t xml:space="preserve">A dedicated export service</w:t>
      </w:r>
      <w:r>
        <w:t xml:space="preserve"> </w:t>
      </w:r>
      <w:r>
        <w:t xml:space="preserve">(</w:t>
      </w:r>
      <w:hyperlink r:id="rId57">
        <w:r>
          <w:rPr>
            <w:rStyle w:val="VerbatimChar"/>
          </w:rPr>
          <w:t xml:space="preserve">Servers/DataExport/</w:t>
        </w:r>
      </w:hyperlink>
      <w:r>
        <w:t xml:space="preserve">) builds graphs through the</w:t>
      </w:r>
      <w:r>
        <w:t xml:space="preserve"> </w:t>
      </w:r>
      <w:r>
        <w:t xml:space="preserve">same factories used internally and serializes them to standard formats: DOT,</w:t>
      </w:r>
      <w:r>
        <w:t xml:space="preserve"> </w:t>
      </w:r>
      <w:r>
        <w:t xml:space="preserve">TLP, GraphML (GML), and JSON for network and motif graphs, and TLP and JSON for</w:t>
      </w:r>
      <w:r>
        <w:t xml:space="preserve"> </w:t>
      </w:r>
      <w:r>
        <w:t xml:space="preserve">morphology graphs. These formats let connectome graphs be loaded directly into</w:t>
      </w:r>
      <w:r>
        <w:t xml:space="preserve"> </w:t>
      </w:r>
      <w:r>
        <w:t xml:space="preserve">common graph-analysis and visualization tools.</w:t>
      </w:r>
    </w:p>
    <w:bookmarkEnd w:id="58"/>
    <w:bookmarkStart w:id="59" w:name="authentication-and-authorization"/>
    <w:p>
      <w:pPr>
        <w:pStyle w:val="Heading3"/>
      </w:pPr>
      <w:r>
        <w:t xml:space="preserve">7.4 Authentication and authorization</w:t>
      </w:r>
    </w:p>
    <w:p>
      <w:pPr>
        <w:pStyle w:val="FirstParagraph"/>
      </w:pPr>
      <w:r>
        <w:t xml:space="preserve">Access is mediated by a dedicated identity service based on the IdentityServer</w:t>
      </w:r>
      <w:r>
        <w:t xml:space="preserve"> </w:t>
      </w:r>
      <w:r>
        <w:t xml:space="preserve">framework, comprising a token issuer, a query API for users and rights, and a</w:t>
      </w:r>
      <w:r>
        <w:t xml:space="preserve"> </w:t>
      </w:r>
      <w:r>
        <w:t xml:space="preserve">management site for accounts and volume permissions. Authorization is</w:t>
      </w:r>
      <w:r>
        <w:t xml:space="preserve"> </w:t>
      </w:r>
      <w:r>
        <w:t xml:space="preserve">volume-scoped: claims take the form</w:t>
      </w:r>
      <w:r>
        <w:t xml:space="preserve"> </w:t>
      </w:r>
      <w:r>
        <w:rPr>
          <w:rStyle w:val="VerbatimChar"/>
        </w:rPr>
        <w:t xml:space="preserve">{VolumeName}.{permission}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RC1.Read</w:t>
      </w:r>
      <w:r>
        <w:t xml:space="preserve">), and the annotation service validates the bearer token’s issuer and</w:t>
      </w:r>
      <w:r>
        <w:t xml:space="preserve"> </w:t>
      </w:r>
      <w:r>
        <w:t xml:space="preserve">audience and checks the required claim before serving a request. This is what</w:t>
      </w:r>
      <w:r>
        <w:t xml:space="preserve"> </w:t>
      </w:r>
      <w:r>
        <w:t xml:space="preserve">allows a single deployment to host multiple volumes for multiple institutions</w:t>
      </w:r>
      <w:r>
        <w:t xml:space="preserve"> </w:t>
      </w:r>
      <w:r>
        <w:t xml:space="preserve">with appropriate separation.</w:t>
      </w:r>
    </w:p>
    <w:bookmarkEnd w:id="59"/>
    <w:bookmarkStart w:id="61" w:name="deployment"/>
    <w:p>
      <w:pPr>
        <w:pStyle w:val="Heading3"/>
      </w:pPr>
      <w:r>
        <w:t xml:space="preserve">7.5 Deployment</w:t>
      </w:r>
    </w:p>
    <w:p>
      <w:pPr>
        <w:pStyle w:val="FirstParagraph"/>
      </w:pPr>
      <w:r>
        <w:t xml:space="preserve">Servers are deployed with Docker. A combined Windows/IIS image packages the WCF</w:t>
      </w:r>
      <w:r>
        <w:t xml:space="preserve"> </w:t>
      </w:r>
      <w:r>
        <w:t xml:space="preserve">annotation service, the OData API, and the export service behind a single</w:t>
      </w:r>
      <w:r>
        <w:t xml:space="preserve"> </w:t>
      </w:r>
      <w:r>
        <w:t xml:space="preserve">container, exposing them under</w:t>
      </w:r>
      <w:r>
        <w:t xml:space="preserve"> </w:t>
      </w:r>
      <w:r>
        <w:rPr>
          <w:rStyle w:val="VerbatimChar"/>
        </w:rPr>
        <w:t xml:space="preserve">/annotation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/odata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/dataexport</w:t>
      </w:r>
      <w:r>
        <w:t xml:space="preserve"> </w:t>
      </w:r>
      <w:r>
        <w:t xml:space="preserve">respectively; the gRPC and segmentation services run as Linux containers. Runtime</w:t>
      </w:r>
      <w:r>
        <w:t xml:space="preserve"> </w:t>
      </w:r>
      <w:r>
        <w:t xml:space="preserve">configuration and secrets are mounted from host directories following the</w:t>
      </w:r>
      <w:r>
        <w:t xml:space="preserve"> </w:t>
      </w:r>
      <w:r>
        <w:t xml:space="preserve">convention</w:t>
      </w:r>
      <w:r>
        <w:t xml:space="preserve"> </w:t>
      </w:r>
      <w:r>
        <w:rPr>
          <w:rStyle w:val="VerbatimChar"/>
        </w:rPr>
        <w:t xml:space="preserve">D:\Docker\mounted-configs\&lt;ServiceName&gt;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D:\Docker\Builds\&lt;ServiceName&gt;</w:t>
      </w:r>
      <w:r>
        <w:t xml:space="preserve">, documented in</w:t>
      </w:r>
      <w:r>
        <w:t xml:space="preserve"> </w:t>
      </w:r>
      <w:hyperlink r:id="rId60">
        <w:r>
          <w:rPr>
            <w:rStyle w:val="VerbatimChar"/>
          </w:rPr>
          <w:t xml:space="preserve">.cursor/rules/docker-config-and-builds-location.mdc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egmentation-and-assisted-tracing"/>
    <w:p>
      <w:pPr>
        <w:pStyle w:val="Heading2"/>
      </w:pPr>
      <w:r>
        <w:t xml:space="preserve">8. Segmentation and assisted tracing</w:t>
      </w:r>
    </w:p>
    <w:p>
      <w:pPr>
        <w:pStyle w:val="FirstParagraph"/>
      </w:pPr>
      <w:r>
        <w:t xml:space="preserve">Beyond manual tracing, the platform integrates a segmentation service over gRPC</w:t>
      </w:r>
      <w:r>
        <w:t xml:space="preserve"> </w:t>
      </w:r>
      <w:r>
        <w:t xml:space="preserve">that wraps a Segment Anything (SAM2) model</w:t>
      </w:r>
      <w:r>
        <w:t xml:space="preserve"> </w:t>
      </w:r>
      <w:r>
        <w:t xml:space="preserve">(</w:t>
      </w:r>
      <w:hyperlink r:id="rId63">
        <w:r>
          <w:rPr>
            <w:rStyle w:val="VerbatimChar"/>
          </w:rPr>
          <w:t xml:space="preserve">gRPC_Protos/Segmentation/SAM2/segmentation.proto</w:t>
        </w:r>
      </w:hyperlink>
      <w:r>
        <w:t xml:space="preserve">),</w:t>
      </w:r>
      <w:r>
        <w:t xml:space="preserve"> </w:t>
      </w:r>
      <w:r>
        <w:t xml:space="preserve">hosted as a separate container. The intent is to accelerate the most laborious</w:t>
      </w:r>
      <w:r>
        <w:t xml:space="preserve"> </w:t>
      </w:r>
      <w:r>
        <w:t xml:space="preserve">part of annotation, the drawing of accurate polygon boundaries, by proposing</w:t>
      </w:r>
      <w:r>
        <w:t xml:space="preserve"> </w:t>
      </w:r>
      <w:r>
        <w:t xml:space="preserve">segmentations that an annotator can accept or correct. This service is separate</w:t>
      </w:r>
      <w:r>
        <w:t xml:space="preserve"> </w:t>
      </w:r>
      <w:r>
        <w:t xml:space="preserve">from the annotation CRUD path and is deployed independently.</w:t>
      </w:r>
    </w:p>
    <w:p>
      <w:r>
        <w:pict>
          <v:rect style="width:0;height:1.5pt" o:hralign="center" o:hrstd="t" o:hr="t"/>
        </w:pict>
      </w:r>
    </w:p>
    <w:bookmarkEnd w:id="64"/>
    <w:bookmarkStart w:id="72" w:name="Xb883018fa0177768521c633f5386505f13c3bfc"/>
    <w:p>
      <w:pPr>
        <w:pStyle w:val="Heading2"/>
      </w:pPr>
      <w:r>
        <w:t xml:space="preserve">9. Three-dimensional morphology and connectome analysis</w:t>
      </w:r>
    </w:p>
    <w:bookmarkStart w:id="66" w:name="from-annotations-to-graphs"/>
    <w:p>
      <w:pPr>
        <w:pStyle w:val="Heading3"/>
      </w:pPr>
      <w:r>
        <w:t xml:space="preserve">9.1 From annotations to graphs</w:t>
      </w:r>
    </w:p>
    <w:p>
      <w:pPr>
        <w:pStyle w:val="FirstParagraph"/>
      </w:pPr>
      <w:r>
        <w:t xml:space="preserve">The analysis pipeline begins by reading annotations into in-memory graphs through</w:t>
      </w:r>
      <w:r>
        <w:t xml:space="preserve"> </w:t>
      </w:r>
      <w:hyperlink r:id="rId65">
        <w:r>
          <w:rPr>
            <w:rStyle w:val="VerbatimChar"/>
          </w:rPr>
          <w:t xml:space="preserve">AnnotationVizLib/</w:t>
        </w:r>
      </w:hyperlink>
      <w:r>
        <w:t xml:space="preserve">. Two graph abstractions are</w:t>
      </w:r>
      <w:r>
        <w:t xml:space="preserve"> </w:t>
      </w:r>
      <w:r>
        <w:t xml:space="preserve">central. A</w:t>
      </w:r>
      <w:r>
        <w:t xml:space="preserve"> </w:t>
      </w:r>
      <w:r>
        <w:rPr>
          <w:rStyle w:val="VerbatimChar"/>
        </w:rPr>
        <w:t xml:space="preserve">MorphologyGraph</w:t>
      </w:r>
      <w:r>
        <w:t xml:space="preserve"> </w:t>
      </w:r>
      <w:r>
        <w:t xml:space="preserve">represents one or more structures at the level of</w:t>
      </w:r>
      <w:r>
        <w:t xml:space="preserve"> </w:t>
      </w:r>
      <w:r>
        <w:t xml:space="preserve">geometry: its nodes are locations (each a spatial geometry plus a Z depth) and</w:t>
      </w:r>
      <w:r>
        <w:t xml:space="preserve"> </w:t>
      </w:r>
      <w:r>
        <w:t xml:space="preserve">its edges are location links. A</w:t>
      </w:r>
      <w:r>
        <w:t xml:space="preserve"> </w:t>
      </w:r>
      <w:r>
        <w:rPr>
          <w:rStyle w:val="VerbatimChar"/>
        </w:rPr>
        <w:t xml:space="preserve">NeuronGraph</w:t>
      </w:r>
      <w:r>
        <w:t xml:space="preserve"> </w:t>
      </w:r>
      <w:r>
        <w:t xml:space="preserve">represents connectivity at the</w:t>
      </w:r>
      <w:r>
        <w:t xml:space="preserve"> </w:t>
      </w:r>
      <w:r>
        <w:t xml:space="preserve">level of structures, where nodes are cells and edges are structure links. The</w:t>
      </w:r>
      <w:r>
        <w:t xml:space="preserve"> </w:t>
      </w:r>
      <w:r>
        <w:t xml:space="preserve">same data can be fetched through three interchangeable backends – an OData</w:t>
      </w:r>
      <w:r>
        <w:t xml:space="preserve"> </w:t>
      </w:r>
      <w:r>
        <w:t xml:space="preserve">client (</w:t>
      </w:r>
      <w:r>
        <w:rPr>
          <w:rStyle w:val="VerbatimChar"/>
        </w:rPr>
        <w:t xml:space="preserve">ODataMorphologyFactory</w:t>
      </w:r>
      <w:r>
        <w:t xml:space="preserve">), the WCF service (</w:t>
      </w:r>
      <w:r>
        <w:rPr>
          <w:rStyle w:val="VerbatimChar"/>
        </w:rPr>
        <w:t xml:space="preserve">WCFMorphologyFactory</w:t>
      </w:r>
      <w:r>
        <w:t xml:space="preserve">), and</w:t>
      </w:r>
      <w:r>
        <w:t xml:space="preserve"> </w:t>
      </w:r>
      <w:r>
        <w:t xml:space="preserve">a lightweight OData client (</w:t>
      </w:r>
      <w:r>
        <w:rPr>
          <w:rStyle w:val="VerbatimChar"/>
        </w:rPr>
        <w:t xml:space="preserve">SimpleODataMorphologyFactory</w:t>
      </w:r>
      <w:r>
        <w:t xml:space="preserve">) – so analysis code is</w:t>
      </w:r>
      <w:r>
        <w:t xml:space="preserve"> </w:t>
      </w:r>
      <w:r>
        <w:t xml:space="preserve">not tied to a single transport.</w:t>
      </w:r>
    </w:p>
    <w:bookmarkEnd w:id="66"/>
    <w:bookmarkStart w:id="70" w:name="surface-reconstruction"/>
    <w:p>
      <w:pPr>
        <w:pStyle w:val="Heading3"/>
      </w:pPr>
      <w:r>
        <w:t xml:space="preserve">9.2 Surface reconstruction</w:t>
      </w:r>
    </w:p>
    <w:p>
      <w:pPr>
        <w:pStyle w:val="FirstParagraph"/>
      </w:pPr>
      <w:r>
        <w:t xml:space="preserve">To produce three-dimensional surfaces, the per-section footprints of a structure</w:t>
      </w:r>
      <w:r>
        <w:t xml:space="preserve"> </w:t>
      </w:r>
      <w:r>
        <w:t xml:space="preserve">must be tiled into a closed mesh. This is handled in</w:t>
      </w:r>
      <w:r>
        <w:t xml:space="preserve"> </w:t>
      </w:r>
      <w:hyperlink r:id="rId67">
        <w:r>
          <w:rPr>
            <w:rStyle w:val="VerbatimChar"/>
          </w:rPr>
          <w:t xml:space="preserve">MorphologyMesh/</w:t>
        </w:r>
      </w:hyperlink>
      <w:r>
        <w:t xml:space="preserve">. A</w:t>
      </w:r>
      <w:r>
        <w:t xml:space="preserve"> </w:t>
      </w:r>
      <w:r>
        <w:rPr>
          <w:rStyle w:val="VerbatimChar"/>
        </w:rPr>
        <w:t xml:space="preserve">SliceGraph</w:t>
      </w:r>
      <w:r>
        <w:t xml:space="preserve"> </w:t>
      </w:r>
      <w:r>
        <w:t xml:space="preserve">groups the</w:t>
      </w:r>
      <w:r>
        <w:t xml:space="preserve"> </w:t>
      </w:r>
      <w:r>
        <w:t xml:space="preserve">connected locations of a morphology into slices between adjacent Z levels. The</w:t>
      </w:r>
      <w:r>
        <w:t xml:space="preserve"> </w:t>
      </w:r>
      <w:r>
        <w:rPr>
          <w:rStyle w:val="VerbatimChar"/>
        </w:rPr>
        <w:t xml:space="preserve">BajajMeshGenerator</w:t>
      </w:r>
      <w:r>
        <w:t xml:space="preserve"> </w:t>
      </w:r>
      <w:r>
        <w:t xml:space="preserve">(</w:t>
      </w:r>
      <w:hyperlink r:id="rId68">
        <w:r>
          <w:rPr>
            <w:rStyle w:val="VerbatimChar"/>
          </w:rPr>
          <w:t xml:space="preserve">MorphologyMesh/Generators/BajajMeshGenerator.cs</w:t>
        </w:r>
      </w:hyperlink>
      <w:r>
        <w:t xml:space="preserve">)</w:t>
      </w:r>
      <w:r>
        <w:t xml:space="preserve"> </w:t>
      </w:r>
      <w:r>
        <w:t xml:space="preserve">then reconstructs a surface between consecutive contours using a branching-aware</w:t>
      </w:r>
      <w:r>
        <w:t xml:space="preserve"> </w:t>
      </w:r>
      <w:r>
        <w:t xml:space="preserve">tiling approach: it computes a constrained Delaunay triangulation of the paired</w:t>
      </w:r>
      <w:r>
        <w:t xml:space="preserve"> </w:t>
      </w:r>
      <w:r>
        <w:t xml:space="preserve">contours, builds a region graph, selects optimal tiling vertices, and generates</w:t>
      </w:r>
      <w:r>
        <w:t xml:space="preserve"> </w:t>
      </w:r>
      <w:r>
        <w:t xml:space="preserve">validated</w:t>
      </w:r>
      <w:r>
        <w:t xml:space="preserve"> </w:t>
      </w:r>
      <w:r>
        <w:t xml:space="preserve">“slice chords”</w:t>
      </w:r>
      <w:r>
        <w:t xml:space="preserve"> </w:t>
      </w:r>
      <w:r>
        <w:t xml:space="preserve">that connect contour pairs while respecting branching</w:t>
      </w:r>
      <w:r>
        <w:t xml:space="preserve"> </w:t>
      </w:r>
      <w:r>
        <w:t xml:space="preserve">and avoiding self-intersection [CITE: Bajaj contour tiling]. The resulting mesh</w:t>
      </w:r>
      <w:r>
        <w:t xml:space="preserve"> </w:t>
      </w:r>
      <w:r>
        <w:t xml:space="preserve">can be exported to COLLADA via</w:t>
      </w:r>
      <w:r>
        <w:t xml:space="preserve"> </w:t>
      </w:r>
      <w:r>
        <w:rPr>
          <w:rStyle w:val="VerbatimChar"/>
        </w:rPr>
        <w:t xml:space="preserve">MorphologyColladaView</w:t>
      </w:r>
      <w:r>
        <w:t xml:space="preserve"> </w:t>
      </w:r>
      <w:r>
        <w:t xml:space="preserve">for visualization and for</w:t>
      </w:r>
      <w:r>
        <w:t xml:space="preserve"> </w:t>
      </w:r>
      <w:r>
        <w:t xml:space="preserve">import into 3D analysis tools. The interactive testbeds</w:t>
      </w:r>
      <w:r>
        <w:t xml:space="preserve"> </w:t>
      </w:r>
      <w:r>
        <w:rPr>
          <w:rStyle w:val="VerbatimChar"/>
        </w:rPr>
        <w:t xml:space="preserve">BajajTest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BajajMultiTest</w:t>
      </w:r>
      <w:r>
        <w:t xml:space="preserve"> </w:t>
      </w:r>
      <w:r>
        <w:t xml:space="preserve">(</w:t>
      </w:r>
      <w:hyperlink r:id="rId69">
        <w:r>
          <w:rPr>
            <w:rStyle w:val="VerbatimChar"/>
          </w:rPr>
          <w:t xml:space="preserve">Clients/MonogameTestbed/BajajTest.cs</w:t>
        </w:r>
      </w:hyperlink>
      <w:r>
        <w:t xml:space="preserve">)</w:t>
      </w:r>
      <w:r>
        <w:t xml:space="preserve"> </w:t>
      </w:r>
      <w:r>
        <w:t xml:space="preserve">visualize the reconstruction stage by stage and were used to validate the</w:t>
      </w:r>
      <w:r>
        <w:t xml:space="preserve"> </w:t>
      </w:r>
      <w:r>
        <w:t xml:space="preserve">algorithm.</w:t>
      </w:r>
    </w:p>
    <w:bookmarkEnd w:id="70"/>
    <w:bookmarkStart w:id="71" w:name="network-export-for-analysis"/>
    <w:p>
      <w:pPr>
        <w:pStyle w:val="Heading3"/>
      </w:pPr>
      <w:r>
        <w:t xml:space="preserve">9.3 Network export for analysis</w:t>
      </w:r>
    </w:p>
    <w:p>
      <w:pPr>
        <w:pStyle w:val="FirstParagraph"/>
      </w:pPr>
      <w:r>
        <w:t xml:space="preserve">In parallel with morphology, the connectivity graph is exported for quantitative</w:t>
      </w:r>
      <w:r>
        <w:t xml:space="preserve"> </w:t>
      </w:r>
      <w:r>
        <w:t xml:space="preserve">network analysis through the export service (Section 7.3), in DOT, TLP, GraphML,</w:t>
      </w:r>
      <w:r>
        <w:t xml:space="preserve"> </w:t>
      </w:r>
      <w:r>
        <w:t xml:space="preserve">and JSON. This is the natural hand-off point to external connectome analysis</w:t>
      </w:r>
      <w:r>
        <w:t xml:space="preserve"> </w:t>
      </w:r>
      <w:r>
        <w:t xml:space="preserve">methods, including studies of network motifs and 3D spatial organization.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quality-control-performance-and-scale"/>
    <w:p>
      <w:pPr>
        <w:pStyle w:val="Heading2"/>
      </w:pPr>
      <w:r>
        <w:t xml:space="preserve">10. Quality control, performance, and scale</w:t>
      </w:r>
    </w:p>
    <w:p>
      <w:pPr>
        <w:pStyle w:val="FirstParagraph"/>
      </w:pPr>
      <w:r>
        <w:t xml:space="preserve">Several mechanisms support data quality and performance at scale. VikingAU</w:t>
      </w:r>
      <w:r>
        <w:t xml:space="preserve"> </w:t>
      </w:r>
      <w:r>
        <w:t xml:space="preserve">(</w:t>
      </w:r>
      <w:hyperlink r:id="rId73">
        <w:r>
          <w:rPr>
            <w:rStyle w:val="VerbatimChar"/>
          </w:rPr>
          <w:t xml:space="preserve">Clients/VikingAU/</w:t>
        </w:r>
      </w:hyperlink>
      <w:r>
        <w:t xml:space="preserve">) automatically adjusts</w:t>
      </w:r>
      <w:r>
        <w:t xml:space="preserve"> </w:t>
      </w:r>
      <w:r>
        <w:t xml:space="preserve">annotation positions in the database, correcting systematic offsets. Spatial</w:t>
      </w:r>
      <w:r>
        <w:t xml:space="preserve"> </w:t>
      </w:r>
      <w:r>
        <w:t xml:space="preserve">indexes and bounds stored procedures keep region queries fast even as the number</w:t>
      </w:r>
      <w:r>
        <w:t xml:space="preserve"> </w:t>
      </w:r>
      <w:r>
        <w:t xml:space="preserve">of annotations grows into the millions. The tile and transform caches</w:t>
      </w:r>
      <w:r>
        <w:t xml:space="preserve"> </w:t>
      </w:r>
      <w:r>
        <w:t xml:space="preserve">(Sections 2.3 and 3.4) bound client memory and network use. Query-date semantics</w:t>
      </w:r>
      <w:r>
        <w:t xml:space="preserve"> </w:t>
      </w:r>
      <w:r>
        <w:t xml:space="preserve">in the region stored procedures give annotators a consistent view of the data</w:t>
      </w:r>
      <w:r>
        <w:t xml:space="preserve"> </w:t>
      </w:r>
      <w:r>
        <w:t xml:space="preserve">while edits proceed concurrently, and Change Data Capture provides an audit trail.</w:t>
      </w:r>
    </w:p>
    <w:p>
      <w:r>
        <w:pict>
          <v:rect style="width:0;height:1.5pt" o:hralign="center" o:hrstd="t" o:hr="t"/>
        </w:pict>
      </w:r>
    </w:p>
    <w:bookmarkEnd w:id="74"/>
    <w:bookmarkStart w:id="75" w:name="discussion"/>
    <w:p>
      <w:pPr>
        <w:pStyle w:val="Heading2"/>
      </w:pPr>
      <w:r>
        <w:t xml:space="preserve">11. Discussion</w:t>
      </w:r>
    </w:p>
    <w:p>
      <w:pPr>
        <w:pStyle w:val="FirstParagraph"/>
      </w:pPr>
      <w:r>
        <w:t xml:space="preserve">The table below summarizes how the platform has changed relative to the 2009</w:t>
      </w:r>
      <w:r>
        <w:t xml:space="preserve"> </w:t>
      </w:r>
      <w:r>
        <w:t xml:space="preserve">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2009 framework</w:t>
            </w:r>
          </w:p>
        </w:tc>
        <w:tc>
          <w:tcPr/>
          <w:p>
            <w:pPr>
              <w:pStyle w:val="Compact"/>
            </w:pPr>
            <w:r>
              <w:t xml:space="preserve">Current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Win32 multislice pager</w:t>
            </w:r>
          </w:p>
        </w:tc>
        <w:tc>
          <w:tcPr/>
          <w:p>
            <w:pPr>
              <w:pStyle w:val="Compact"/>
            </w:pPr>
            <w:r>
              <w:t xml:space="preserve">MonoGame/XNA real-time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 handling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  <w:tc>
          <w:tcPr/>
          <w:p>
            <w:pPr>
              <w:pStyle w:val="Compact"/>
            </w:pPr>
            <w:r>
              <w:t xml:space="preserve">Explicit mosaic and volume spaces with composed STOS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storage</w:t>
            </w:r>
          </w:p>
        </w:tc>
        <w:tc>
          <w:tcPr/>
          <w:p>
            <w:pPr>
              <w:pStyle w:val="Compact"/>
            </w:pPr>
            <w:r>
              <w:t xml:space="preserve">Scalar coordinates</w:t>
            </w:r>
          </w:p>
        </w:tc>
        <w:tc>
          <w:tcPr/>
          <w:p>
            <w:pPr>
              <w:pStyle w:val="Compact"/>
            </w:pPr>
            <w:r>
              <w:t xml:space="preserve">Indexed SQL Server spatial geometry (2015)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loading</w:t>
            </w:r>
          </w:p>
        </w:tc>
        <w:tc>
          <w:tcPr/>
          <w:p>
            <w:pPr>
              <w:pStyle w:val="Compact"/>
            </w:pPr>
            <w:r>
              <w:t xml:space="preserve">Per section</w:t>
            </w:r>
          </w:p>
        </w:tc>
        <w:tc>
          <w:tcPr/>
          <w:p>
            <w:pPr>
              <w:pStyle w:val="Compact"/>
            </w:pPr>
            <w:r>
              <w:t xml:space="preserve">Per spatial region (viewport)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Programmatic access</w:t>
            </w:r>
          </w:p>
        </w:tc>
        <w:tc>
          <w:tcPr/>
          <w:p>
            <w:pPr>
              <w:pStyle w:val="Compact"/>
            </w:pPr>
            <w:r>
              <w:t xml:space="preserve">None described</w:t>
            </w:r>
          </w:p>
        </w:tc>
        <w:tc>
          <w:tcPr/>
          <w:p>
            <w:pPr>
              <w:pStyle w:val="Compact"/>
            </w:pPr>
            <w:r>
              <w:t xml:space="preserve">OData read API; gRPC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export</w:t>
            </w:r>
          </w:p>
        </w:tc>
        <w:tc>
          <w:tcPr/>
          <w:p>
            <w:pPr>
              <w:pStyle w:val="Compact"/>
            </w:pPr>
            <w:r>
              <w:t xml:space="preserve">None described</w:t>
            </w:r>
          </w:p>
        </w:tc>
        <w:tc>
          <w:tcPr/>
          <w:p>
            <w:pPr>
              <w:pStyle w:val="Compact"/>
            </w:pPr>
            <w:r>
              <w:t xml:space="preserve">DOT, TLP, GraphML, JSON via export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None described</w:t>
            </w:r>
          </w:p>
        </w:tc>
        <w:tc>
          <w:tcPr/>
          <w:p>
            <w:pPr>
              <w:pStyle w:val="Compact"/>
            </w:pPr>
            <w:r>
              <w:t xml:space="preserve">Identity service with volume-scoped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Assisted annotation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t xml:space="preserve">gRPC segmentation (SAM2)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morphology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Bajaj surface reconstruction to COLLADA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Lab servers</w:t>
            </w:r>
          </w:p>
        </w:tc>
        <w:tc>
          <w:tcPr/>
          <w:p>
            <w:pPr>
              <w:pStyle w:val="Compact"/>
            </w:pPr>
            <w:r>
              <w:t xml:space="preserve">Docker, mounted-config convention</w:t>
            </w:r>
          </w:p>
        </w:tc>
      </w:tr>
    </w:tbl>
    <w:p>
      <w:pPr>
        <w:pStyle w:val="BodyText"/>
      </w:pPr>
      <w:r>
        <w:t xml:space="preserve">Limitations and ongoing work remain. The gRPC annotation service has not yet</w:t>
      </w:r>
      <w:r>
        <w:t xml:space="preserve"> </w:t>
      </w:r>
      <w:r>
        <w:t xml:space="preserve">fully replaced the WCF implementation, so both are maintained. Mesh export to</w:t>
      </w:r>
      <w:r>
        <w:t xml:space="preserve"> </w:t>
      </w:r>
      <w:r>
        <w:t xml:space="preserve">COLLADA is implemented in the morphology library but is not yet wired into the</w:t>
      </w:r>
      <w:r>
        <w:t xml:space="preserve"> </w:t>
      </w:r>
      <w:r>
        <w:t xml:space="preserve">export service’s public endpoints. These are areas of active development.</w:t>
      </w:r>
    </w:p>
    <w:p>
      <w:r>
        <w:pict>
          <v:rect style="width:0;height:1.5pt" o:hralign="center" o:hrstd="t" o:hr="t"/>
        </w:pict>
      </w:r>
    </w:p>
    <w:bookmarkEnd w:id="75"/>
    <w:bookmarkStart w:id="76" w:name="availability"/>
    <w:p>
      <w:pPr>
        <w:pStyle w:val="Heading2"/>
      </w:pPr>
      <w:r>
        <w:t xml:space="preserve">12. Availability</w:t>
      </w:r>
    </w:p>
    <w:p>
      <w:pPr>
        <w:pStyle w:val="FirstParagraph"/>
      </w:pPr>
      <w:r>
        <w:t xml:space="preserve">Viking and its servers are maintained in the project repository. Server</w:t>
      </w:r>
      <w:r>
        <w:t xml:space="preserve"> </w:t>
      </w:r>
      <w:r>
        <w:t xml:space="preserve">components are distributed as Docker images; client builds target Windows. Access</w:t>
      </w:r>
      <w:r>
        <w:t xml:space="preserve"> </w:t>
      </w:r>
      <w:r>
        <w:t xml:space="preserve">to specific volumes is governed by the identity service and granted per volume.</w:t>
      </w:r>
      <w:r>
        <w:t xml:space="preserve"> </w:t>
      </w:r>
      <w:r>
        <w:t xml:space="preserve">[CITE: repository URL, license, data-availability statement.]</w:t>
      </w:r>
    </w:p>
    <w:p>
      <w:r>
        <w:pict>
          <v:rect style="width:0;height:1.5pt" o:hralign="center" o:hrstd="t" o:hr="t"/>
        </w:pict>
      </w:r>
    </w:p>
    <w:bookmarkEnd w:id="76"/>
    <w:bookmarkStart w:id="78" w:name="notes-for-co-authors"/>
    <w:p>
      <w:pPr>
        <w:pStyle w:val="Heading2"/>
      </w:pPr>
      <w:r>
        <w:t xml:space="preserve">Notes for co-authors</w:t>
      </w:r>
    </w:p>
    <w:p>
      <w:pPr>
        <w:pStyle w:val="Compact"/>
        <w:numPr>
          <w:ilvl w:val="0"/>
          <w:numId w:val="1004"/>
        </w:numPr>
      </w:pPr>
      <w:r>
        <w:t xml:space="preserve">Bracketed</w:t>
      </w:r>
      <w:r>
        <w:t xml:space="preserve"> </w:t>
      </w:r>
      <w:r>
        <w:rPr>
          <w:rStyle w:val="VerbatimChar"/>
        </w:rPr>
        <w:t xml:space="preserve">[CITE: ...]</w:t>
      </w:r>
      <w:r>
        <w:t xml:space="preserve"> </w:t>
      </w:r>
      <w:r>
        <w:t xml:space="preserve">markers indicate where formal references belong</w:t>
      </w:r>
      <w:r>
        <w:t xml:space="preserve"> </w:t>
      </w:r>
      <w:r>
        <w:t xml:space="preserve">(Anderson 2009; SerialEM; ir-tools; the Bajaj contour-tiling method; SAM2; and</w:t>
      </w:r>
      <w:r>
        <w:t xml:space="preserve"> </w:t>
      </w:r>
      <w:r>
        <w:t xml:space="preserve">the repository/data-availability statement).</w:t>
      </w:r>
    </w:p>
    <w:p>
      <w:pPr>
        <w:pStyle w:val="Compact"/>
        <w:numPr>
          <w:ilvl w:val="0"/>
          <w:numId w:val="1004"/>
        </w:numPr>
      </w:pPr>
      <w:r>
        <w:t xml:space="preserve">Figures referenced in the outline</w:t>
      </w:r>
      <w:r>
        <w:t xml:space="preserve"> </w:t>
      </w:r>
      <w:r>
        <w:t xml:space="preserve">(</w:t>
      </w:r>
      <w:hyperlink r:id="rId77">
        <w:r>
          <w:rPr>
            <w:rStyle w:val="VerbatimChar"/>
          </w:rPr>
          <w:t xml:space="preserve">viking-methods-outline.md</w:t>
        </w:r>
      </w:hyperlink>
      <w:r>
        <w:t xml:space="preserve">) are not yet drawn;</w:t>
      </w:r>
      <w:r>
        <w:t xml:space="preserve"> </w:t>
      </w:r>
      <w:r>
        <w:t xml:space="preserve">the architecture diagram there can seed Figure 1 and Figure 3.</w:t>
      </w:r>
    </w:p>
    <w:p>
      <w:pPr>
        <w:pStyle w:val="Compact"/>
        <w:numPr>
          <w:ilvl w:val="0"/>
          <w:numId w:val="1004"/>
        </w:numPr>
      </w:pPr>
      <w:r>
        <w:t xml:space="preserve">Quantitative scale figures (volume sizes, annotation counts, annotator numbers)</w:t>
      </w:r>
      <w:r>
        <w:t xml:space="preserve"> </w:t>
      </w:r>
      <w:r>
        <w:t xml:space="preserve">should be filled from current project records; the original RC1 figures are in</w:t>
      </w:r>
      <w:r>
        <w:t xml:space="preserve"> </w:t>
      </w:r>
      <w:r>
        <w:t xml:space="preserve">Anderson 2009.</w:t>
      </w:r>
    </w:p>
    <w:p>
      <w:pPr>
        <w:pStyle w:val="Compact"/>
        <w:numPr>
          <w:ilvl w:val="0"/>
          <w:numId w:val="1004"/>
        </w:numPr>
      </w:pPr>
      <w:r>
        <w:t xml:space="preserve">All technical claims here are grounded in the current source tree at the cited</w:t>
      </w:r>
      <w:r>
        <w:t xml:space="preserve"> </w:t>
      </w:r>
      <w:r>
        <w:t xml:space="preserve">paths; verify against the specific release used for the manuscript.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../.cursor/rules/coordinate-spaces.mdc" TargetMode="External" /><Relationship Type="http://schemas.openxmlformats.org/officeDocument/2006/relationships/hyperlink" Id="rId60" Target="../../../.cursor/rules/docker-config-and-builds-location.mdc" TargetMode="External" /><Relationship Type="http://schemas.openxmlformats.org/officeDocument/2006/relationships/hyperlink" Id="rId65" Target="../../../AnnotationVizLib/" TargetMode="External" /><Relationship Type="http://schemas.openxmlformats.org/officeDocument/2006/relationships/hyperlink" Id="rId69" Target="../../../Clients/MonogameTestbed/BajajTest.cs" TargetMode="External" /><Relationship Type="http://schemas.openxmlformats.org/officeDocument/2006/relationships/hyperlink" Id="rId43" Target="../../../Clients/MonogameXNAGraphicsShared/" TargetMode="External" /><Relationship Type="http://schemas.openxmlformats.org/officeDocument/2006/relationships/hyperlink" Id="rId18" Target="../../../Clients/Viking/NGVV/Threading/TextureReaderV2.cs" TargetMode="External" /><Relationship Type="http://schemas.openxmlformats.org/officeDocument/2006/relationships/hyperlink" Id="rId44" Target="../../../Clients/Viking/NGVV/UI/Controls/SectionViewerControl.cs" TargetMode="External" /><Relationship Type="http://schemas.openxmlformats.org/officeDocument/2006/relationships/hyperlink" Id="rId48" Target="../../../Clients/Viking/WebAnnotation/UI/AnnotationOverlay.cs" TargetMode="External" /><Relationship Type="http://schemas.openxmlformats.org/officeDocument/2006/relationships/hyperlink" Id="rId73" Target="../../../Clients/VikingAU/" TargetMode="External" /><Relationship Type="http://schemas.openxmlformats.org/officeDocument/2006/relationships/hyperlink" Id="rId15" Target="../../../Clients/VolumeModel/FixedTileCountMapping.cs" TargetMode="External" /><Relationship Type="http://schemas.openxmlformats.org/officeDocument/2006/relationships/hyperlink" Id="rId28" Target="../../../Clients/VolumeModel/JsonTransformSerializer.cs" TargetMode="External" /><Relationship Type="http://schemas.openxmlformats.org/officeDocument/2006/relationships/hyperlink" Id="rId14" Target="../../../Clients/VolumeModel/Pyramid.cs" TargetMode="External" /><Relationship Type="http://schemas.openxmlformats.org/officeDocument/2006/relationships/hyperlink" Id="rId26" Target="../../../Clients/VolumeModel/RegistrationTree.cs" TargetMode="External" /><Relationship Type="http://schemas.openxmlformats.org/officeDocument/2006/relationships/hyperlink" Id="rId13" Target="../../../Clients/VolumeModel/Section.cs" TargetMode="External" /><Relationship Type="http://schemas.openxmlformats.org/officeDocument/2006/relationships/hyperlink" Id="rId19" Target="../../../Clients/VolumeModel/TileCache.cs" TargetMode="External" /><Relationship Type="http://schemas.openxmlformats.org/officeDocument/2006/relationships/hyperlink" Id="rId16" Target="../../../Clients/VolumeModel/TilePyramid.cs" TargetMode="External" /><Relationship Type="http://schemas.openxmlformats.org/officeDocument/2006/relationships/hyperlink" Id="rId12" Target="../../../Clients/VolumeModel/Volume.cs" TargetMode="External" /><Relationship Type="http://schemas.openxmlformats.org/officeDocument/2006/relationships/hyperlink" Id="rId33" Target="../../../Clients/WebAnnotationModel/" TargetMode="External" /><Relationship Type="http://schemas.openxmlformats.org/officeDocument/2006/relationships/hyperlink" Id="rId36" Target="../../../Clients/WebAnnotationModel/Objects/PermittedStructureLinkObj.cs" TargetMode="External" /><Relationship Type="http://schemas.openxmlformats.org/officeDocument/2006/relationships/hyperlink" Id="rId35" Target="../../../Clients/WebAnnotationModel/Objects/StructureTypeObj.cs" TargetMode="External" /><Relationship Type="http://schemas.openxmlformats.org/officeDocument/2006/relationships/hyperlink" Id="rId46" Target="../../../Clients/WebAnnotationModel/RegionLoader/RegionLoader.cs" TargetMode="External" /><Relationship Type="http://schemas.openxmlformats.org/officeDocument/2006/relationships/hyperlink" Id="rId24" Target="../../../Geometry/Transforms/" TargetMode="External" /><Relationship Type="http://schemas.openxmlformats.org/officeDocument/2006/relationships/hyperlink" Id="rId67" Target="../../../MorphologyMesh/" TargetMode="External" /><Relationship Type="http://schemas.openxmlformats.org/officeDocument/2006/relationships/hyperlink" Id="rId68" Target="../../../MorphologyMesh/Generators/BajajMeshGenerator.cs" TargetMode="External" /><Relationship Type="http://schemas.openxmlformats.org/officeDocument/2006/relationships/hyperlink" Id="rId51" Target="../../../Servers/AnnotationService/" TargetMode="External" /><Relationship Type="http://schemas.openxmlformats.org/officeDocument/2006/relationships/hyperlink" Id="rId32" Target="../../../Servers/ConnectomeDataModelCore/" TargetMode="External" /><Relationship Type="http://schemas.openxmlformats.org/officeDocument/2006/relationships/hyperlink" Id="rId55" Target="../../../Servers/ConnectomeODataV4/" TargetMode="External" /><Relationship Type="http://schemas.openxmlformats.org/officeDocument/2006/relationships/hyperlink" Id="rId57" Target="../../../Servers/DataExport/" TargetMode="External" /><Relationship Type="http://schemas.openxmlformats.org/officeDocument/2006/relationships/hyperlink" Id="rId52" Target="../../../Servers/GrpcAnnotationService/" TargetMode="External" /><Relationship Type="http://schemas.openxmlformats.org/officeDocument/2006/relationships/hyperlink" Id="rId38" Target="../../../Servers/SQL/DatabaseCreateUpdate/CreateUpdateDatabase.sql" TargetMode="External" /><Relationship Type="http://schemas.openxmlformats.org/officeDocument/2006/relationships/hyperlink" Id="rId53" Target="../../../gRPCAnnotationServiceTypes/Protos/" TargetMode="External" /><Relationship Type="http://schemas.openxmlformats.org/officeDocument/2006/relationships/hyperlink" Id="rId63" Target="../../../gRPC_Protos/Segmentation/SAM2/segmentation.proto" TargetMode="External" /><Relationship Type="http://schemas.openxmlformats.org/officeDocument/2006/relationships/hyperlink" Id="rId39" Target="spatial-columns-factsheet.md" TargetMode="External" /><Relationship Type="http://schemas.openxmlformats.org/officeDocument/2006/relationships/hyperlink" Id="rId77" Target="viking-methods-out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../.cursor/rules/coordinate-spaces.mdc" TargetMode="External" /><Relationship Type="http://schemas.openxmlformats.org/officeDocument/2006/relationships/hyperlink" Id="rId60" Target="../../../.cursor/rules/docker-config-and-builds-location.mdc" TargetMode="External" /><Relationship Type="http://schemas.openxmlformats.org/officeDocument/2006/relationships/hyperlink" Id="rId65" Target="../../../AnnotationVizLib/" TargetMode="External" /><Relationship Type="http://schemas.openxmlformats.org/officeDocument/2006/relationships/hyperlink" Id="rId69" Target="../../../Clients/MonogameTestbed/BajajTest.cs" TargetMode="External" /><Relationship Type="http://schemas.openxmlformats.org/officeDocument/2006/relationships/hyperlink" Id="rId43" Target="../../../Clients/MonogameXNAGraphicsShared/" TargetMode="External" /><Relationship Type="http://schemas.openxmlformats.org/officeDocument/2006/relationships/hyperlink" Id="rId18" Target="../../../Clients/Viking/NGVV/Threading/TextureReaderV2.cs" TargetMode="External" /><Relationship Type="http://schemas.openxmlformats.org/officeDocument/2006/relationships/hyperlink" Id="rId44" Target="../../../Clients/Viking/NGVV/UI/Controls/SectionViewerControl.cs" TargetMode="External" /><Relationship Type="http://schemas.openxmlformats.org/officeDocument/2006/relationships/hyperlink" Id="rId48" Target="../../../Clients/Viking/WebAnnotation/UI/AnnotationOverlay.cs" TargetMode="External" /><Relationship Type="http://schemas.openxmlformats.org/officeDocument/2006/relationships/hyperlink" Id="rId73" Target="../../../Clients/VikingAU/" TargetMode="External" /><Relationship Type="http://schemas.openxmlformats.org/officeDocument/2006/relationships/hyperlink" Id="rId15" Target="../../../Clients/VolumeModel/FixedTileCountMapping.cs" TargetMode="External" /><Relationship Type="http://schemas.openxmlformats.org/officeDocument/2006/relationships/hyperlink" Id="rId28" Target="../../../Clients/VolumeModel/JsonTransformSerializer.cs" TargetMode="External" /><Relationship Type="http://schemas.openxmlformats.org/officeDocument/2006/relationships/hyperlink" Id="rId14" Target="../../../Clients/VolumeModel/Pyramid.cs" TargetMode="External" /><Relationship Type="http://schemas.openxmlformats.org/officeDocument/2006/relationships/hyperlink" Id="rId26" Target="../../../Clients/VolumeModel/RegistrationTree.cs" TargetMode="External" /><Relationship Type="http://schemas.openxmlformats.org/officeDocument/2006/relationships/hyperlink" Id="rId13" Target="../../../Clients/VolumeModel/Section.cs" TargetMode="External" /><Relationship Type="http://schemas.openxmlformats.org/officeDocument/2006/relationships/hyperlink" Id="rId19" Target="../../../Clients/VolumeModel/TileCache.cs" TargetMode="External" /><Relationship Type="http://schemas.openxmlformats.org/officeDocument/2006/relationships/hyperlink" Id="rId16" Target="../../../Clients/VolumeModel/TilePyramid.cs" TargetMode="External" /><Relationship Type="http://schemas.openxmlformats.org/officeDocument/2006/relationships/hyperlink" Id="rId12" Target="../../../Clients/VolumeModel/Volume.cs" TargetMode="External" /><Relationship Type="http://schemas.openxmlformats.org/officeDocument/2006/relationships/hyperlink" Id="rId33" Target="../../../Clients/WebAnnotationModel/" TargetMode="External" /><Relationship Type="http://schemas.openxmlformats.org/officeDocument/2006/relationships/hyperlink" Id="rId36" Target="../../../Clients/WebAnnotationModel/Objects/PermittedStructureLinkObj.cs" TargetMode="External" /><Relationship Type="http://schemas.openxmlformats.org/officeDocument/2006/relationships/hyperlink" Id="rId35" Target="../../../Clients/WebAnnotationModel/Objects/StructureTypeObj.cs" TargetMode="External" /><Relationship Type="http://schemas.openxmlformats.org/officeDocument/2006/relationships/hyperlink" Id="rId46" Target="../../../Clients/WebAnnotationModel/RegionLoader/RegionLoader.cs" TargetMode="External" /><Relationship Type="http://schemas.openxmlformats.org/officeDocument/2006/relationships/hyperlink" Id="rId24" Target="../../../Geometry/Transforms/" TargetMode="External" /><Relationship Type="http://schemas.openxmlformats.org/officeDocument/2006/relationships/hyperlink" Id="rId67" Target="../../../MorphologyMesh/" TargetMode="External" /><Relationship Type="http://schemas.openxmlformats.org/officeDocument/2006/relationships/hyperlink" Id="rId68" Target="../../../MorphologyMesh/Generators/BajajMeshGenerator.cs" TargetMode="External" /><Relationship Type="http://schemas.openxmlformats.org/officeDocument/2006/relationships/hyperlink" Id="rId51" Target="../../../Servers/AnnotationService/" TargetMode="External" /><Relationship Type="http://schemas.openxmlformats.org/officeDocument/2006/relationships/hyperlink" Id="rId32" Target="../../../Servers/ConnectomeDataModelCore/" TargetMode="External" /><Relationship Type="http://schemas.openxmlformats.org/officeDocument/2006/relationships/hyperlink" Id="rId55" Target="../../../Servers/ConnectomeODataV4/" TargetMode="External" /><Relationship Type="http://schemas.openxmlformats.org/officeDocument/2006/relationships/hyperlink" Id="rId57" Target="../../../Servers/DataExport/" TargetMode="External" /><Relationship Type="http://schemas.openxmlformats.org/officeDocument/2006/relationships/hyperlink" Id="rId52" Target="../../../Servers/GrpcAnnotationService/" TargetMode="External" /><Relationship Type="http://schemas.openxmlformats.org/officeDocument/2006/relationships/hyperlink" Id="rId38" Target="../../../Servers/SQL/DatabaseCreateUpdate/CreateUpdateDatabase.sql" TargetMode="External" /><Relationship Type="http://schemas.openxmlformats.org/officeDocument/2006/relationships/hyperlink" Id="rId53" Target="../../../gRPCAnnotationServiceTypes/Protos/" TargetMode="External" /><Relationship Type="http://schemas.openxmlformats.org/officeDocument/2006/relationships/hyperlink" Id="rId63" Target="../../../gRPC_Protos/Segmentation/SAM2/segmentation.proto" TargetMode="External" /><Relationship Type="http://schemas.openxmlformats.org/officeDocument/2006/relationships/hyperlink" Id="rId39" Target="spatial-columns-factsheet.md" TargetMode="External" /><Relationship Type="http://schemas.openxmlformats.org/officeDocument/2006/relationships/hyperlink" Id="rId77" Target="viking-methods-out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2026-06-26T19:38:13Z</dcterms:created>
  <dcterms:modified xsi:type="dcterms:W3CDTF">2026-06-26T19:38:13Z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