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Override PartName="/word/media/image2.png" ContentType="image/png"/>
  <Override PartName="/word/media/image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STARD reporting checklist</w:t>
      </w:r>
    </w:p>
    <w:p>
      <w:pPr>
        <w:pStyle w:val="Subtitle"/>
      </w:pPr>
      <w:r>
        <w:t xml:space="preserve">For checking that diagnostic accuracy study articles can be understood and used by everyone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16" w:after="16"/>
            </w:pPr>
            <w:r>
              <w:t xml:space="preserve">How to use this reporting checklist</w:t>
            </w:r>
          </w:p>
        </w:tc>
      </w:tr>
      <w:tr>
        <w:trPr>
          <w:cantSplit/>
        </w:trPr>
        <w:tc>
          <w:tcPr>
            <w:tcMar>
              <w:top w:w="108" w:type="dxa"/>
              <w:bottom w:w="108" w:type="dxa"/>
            </w:tcMar>
          </w:tcPr>
          <w:p>
            <w:pPr>
              <w:pStyle w:val="BodyText"/>
            </w:pPr>
            <w:pPr>
              <w:spacing w:before="16"/>
            </w:pPr>
            <w:r>
              <w:t xml:space="preserve">This reporting checklist allows authors to demonstrate that their manuscripts adhere to the</w:t>
            </w:r>
            <w:r>
              <w:t xml:space="preserve"> </w:t>
            </w:r>
            <w:hyperlink r:id="rId20">
              <w:r>
                <w:rPr>
                  <w:rStyle w:val="Hyperlink"/>
                </w:rPr>
                <w:t xml:space="preserve">STARD reporting guideline</w:t>
              </w:r>
            </w:hyperlink>
            <w:r>
              <w:t xml:space="preserve">.</w:t>
            </w:r>
          </w:p>
          <w:p>
            <w:pPr>
              <w:pStyle w:val="BodyText"/>
            </w:pPr>
            <w:r>
              <w:t xml:space="preserve">If you have not used a reporting guideline before, read about</w:t>
            </w:r>
            <w:r>
              <w:t xml:space="preserve"> </w:t>
            </w:r>
            <w:hyperlink r:id="rId21">
              <w:r>
                <w:rPr>
                  <w:rStyle w:val="Hyperlink"/>
                </w:rPr>
                <w:t xml:space="preserve">how and why to use them</w:t>
              </w:r>
            </w:hyperlink>
            <w:r>
              <w:t xml:space="preserve"> </w:t>
            </w:r>
            <w:r>
              <w:t xml:space="preserve">and check whether STARD is the</w:t>
            </w:r>
            <w:r>
              <w:t xml:space="preserve"> </w:t>
            </w:r>
            <w:hyperlink r:id="rId22">
              <w:r>
                <w:rPr>
                  <w:rStyle w:val="Hyperlink"/>
                </w:rPr>
                <w:t xml:space="preserve">most applicable reporting guideline</w:t>
              </w:r>
            </w:hyperlink>
            <w:r>
              <w:t xml:space="preserve"> </w:t>
            </w:r>
            <w:r>
              <w:t xml:space="preserve">for your work.</w:t>
            </w:r>
          </w:p>
          <w:p>
            <w:pPr>
              <w:pStyle w:val="BodyText"/>
            </w:pPr>
            <w:r>
              <w:t xml:space="preserve">Reporting guidelines are most useful when used early in research. When writing a manuscript or application, consider using the</w:t>
            </w:r>
            <w:r>
              <w:t xml:space="preserve"> </w:t>
            </w:r>
            <w:hyperlink r:id="rId20">
              <w:r>
                <w:rPr>
                  <w:rStyle w:val="Hyperlink"/>
                </w:rPr>
                <w:t xml:space="preserve">full guidance</w:t>
              </w:r>
            </w:hyperlink>
            <w:r>
              <w:t xml:space="preserve"> </w:t>
            </w:r>
            <w:r>
              <w:t xml:space="preserve">where you’ll find explanations and examples for each item.</w:t>
            </w:r>
          </w:p>
          <w:p>
            <w:pPr>
              <w:pStyle w:val="BodyText"/>
            </w:pPr>
            <w:r>
              <w:t xml:space="preserve">After writing, demonstrate adherence by completing this checklist:</w:t>
            </w:r>
          </w:p>
          <w:p>
            <w:pPr>
              <w:pStyle w:val="Compact"/>
              <w:numPr>
                <w:ilvl w:val="0"/>
                <w:numId w:val="1001"/>
              </w:numPr>
            </w:pPr>
            <w:r>
              <w:t xml:space="preserve">Specify where each item is described (see</w:t>
            </w:r>
            <w:r>
              <w:t xml:space="preserve"> </w:t>
            </w:r>
            <w:hyperlink w:anchor="sec-specify">
              <w:r>
                <w:rPr>
                  <w:rStyle w:val="Hyperlink"/>
                </w:rPr>
                <w:t xml:space="preserve">Note 1</w:t>
              </w:r>
            </w:hyperlink>
            <w:r>
              <w:t xml:space="preserve">).</w:t>
            </w:r>
          </w:p>
          <w:p>
            <w:pPr>
              <w:pStyle w:val="Compact"/>
              <w:numPr>
                <w:ilvl w:val="0"/>
                <w:numId w:val="1001"/>
              </w:numPr>
            </w:pPr>
            <w:r>
              <w:t xml:space="preserve">Cite this checklist (See</w:t>
            </w:r>
            <w:r>
              <w:t xml:space="preserve"> </w:t>
            </w:r>
            <w:hyperlink w:anchor="sec-cite">
              <w:r>
                <w:rPr>
                  <w:rStyle w:val="Hyperlink"/>
                </w:rPr>
                <w:t xml:space="preserve">Note 2</w:t>
              </w:r>
            </w:hyperlink>
            <w:r>
              <w:t xml:space="preserve">).</w:t>
            </w:r>
          </w:p>
          <w:p>
            <w:pPr>
              <w:pStyle w:val="Compact"/>
              <w:numPr>
                <w:ilvl w:val="0"/>
                <w:numId w:val="1001"/>
              </w:numPr>
            </w:pPr>
            <w:r>
              <w:t xml:space="preserve">Include your completed checklist as a supplement when submitting to a journal so that future readers can use it to find information.</w:t>
            </w:r>
          </w:p>
        </w:tc>
      </w:tr>
    </w:tbl>
    <w:p>
      <w:pPr>
        <w:pStyle w:val="FirstParagraph"/>
      </w:pPr>
    </w:p>
    <w:tbl>
      <w:tblPr>
        <w:tblStyle w:val="Table"/>
        <w:tblW w:type="pct" w:w="5000"/>
        <w:tblLayout w:type="fixed"/>
        <w:tblLook w:firstRow="0" w:lastRow="0" w:firstColumn="0" w:lastColumn="0" w:noHBand="0" w:noVBand="0" w:val="0000"/>
      </w:tblPr>
      <w:tblGrid>
        <w:gridCol w:w="1584"/>
        <w:gridCol w:w="3959"/>
        <w:gridCol w:w="2375"/>
      </w:tblGrid>
      <w:tr>
        <w:tc>
          <w:tcPr/>
          <w:p>
            <w:pPr>
              <w:pStyle w:val="Compact"/>
            </w:pPr>
          </w:p>
        </w:tc>
        <w:tc>
          <w:tcPr/>
          <w:p>
            <w:pPr>
              <w:pStyle w:val="Compact"/>
            </w:pPr>
            <w:r>
              <w:t xml:space="preserve">Item Description</w:t>
            </w:r>
          </w:p>
        </w:tc>
        <w:tc>
          <w:tcPr/>
          <w:p>
            <w:pPr>
              <w:pStyle w:val="Compact"/>
            </w:pPr>
            <w:r>
              <w:t xml:space="preserve">Location</w:t>
            </w:r>
            <w:r>
              <w:t xml:space="preserve"> </w:t>
            </w:r>
            <w:r>
              <w:t xml:space="preserve">(or reason for not reporting)</w:t>
            </w:r>
          </w:p>
        </w:tc>
      </w:tr>
      <w:tr>
        <w:tc>
          <w:tcPr/>
          <w:p>
            <w:pPr>
              <w:pStyle w:val="Compact"/>
            </w:pPr>
            <w:r>
              <w:t xml:space="preserve"> </w:t>
            </w:r>
            <w:r>
              <w:rPr>
                <w:b/>
                <w:bCs/>
              </w:rPr>
              <w:t xml:space="preserve">Title or abstract</w:t>
            </w:r>
          </w:p>
        </w:tc>
        <w:tc>
          <w:tcPr/>
          <w:p>
            <w:pPr>
              <w:pStyle w:val="Compact"/>
            </w:pPr>
          </w:p>
        </w:tc>
        <w:tc>
          <w:tcPr/>
          <w:p>
            <w:pPr>
              <w:pStyle w:val="Compact"/>
            </w:pPr>
          </w:p>
        </w:tc>
      </w:tr>
      <w:tr>
        <w:tc>
          <w:tcPr/>
          <w:p>
            <w:pPr>
              <w:pStyle w:val="Compact"/>
            </w:pPr>
            <w:hyperlink r:id="rId23">
              <w:r>
                <w:rPr>
                  <w:rStyle w:val="Hyperlink"/>
                </w:rPr>
                <w:t xml:space="preserve">1. Identification as a study of diagnostic accuracy</w:t>
              </w:r>
            </w:hyperlink>
          </w:p>
        </w:tc>
        <w:tc>
          <w:tcPr/>
          <w:p>
            <w:pPr>
              <w:pStyle w:val="Compact"/>
            </w:pPr>
            <w:r>
              <w:t xml:space="preserve">Identification as a study of diagnostic accuracy using at least one measure of accuracy (such as sensitivity, specificity, predictive values, or AUC).</w:t>
            </w:r>
          </w:p>
        </w:tc>
        <w:tc>
          <w:tcPr/>
          <w:p>
            <w:pPr>
              <w:pStyle w:val="Compact"/>
            </w:pPr>
          </w:p>
        </w:tc>
      </w:tr>
      <w:tr>
        <w:tc>
          <w:tcPr/>
          <w:p>
            <w:pPr>
              <w:pStyle w:val="Compact"/>
            </w:pPr>
            <w:r>
              <w:t xml:space="preserve"> </w:t>
            </w:r>
            <w:r>
              <w:rPr>
                <w:b/>
                <w:bCs/>
              </w:rPr>
              <w:t xml:space="preserve">Abstract</w:t>
            </w:r>
          </w:p>
        </w:tc>
        <w:tc>
          <w:tcPr/>
          <w:p>
            <w:pPr>
              <w:pStyle w:val="Compact"/>
            </w:pPr>
          </w:p>
        </w:tc>
        <w:tc>
          <w:tcPr/>
          <w:p>
            <w:pPr>
              <w:pStyle w:val="Compact"/>
            </w:pPr>
          </w:p>
        </w:tc>
      </w:tr>
      <w:tr>
        <w:tc>
          <w:tcPr/>
          <w:p>
            <w:pPr>
              <w:pStyle w:val="Compact"/>
            </w:pPr>
            <w:hyperlink r:id="rId24">
              <w:r>
                <w:rPr>
                  <w:rStyle w:val="Hyperlink"/>
                </w:rPr>
                <w:t xml:space="preserve">2. Abstract</w:t>
              </w:r>
            </w:hyperlink>
          </w:p>
        </w:tc>
        <w:tc>
          <w:tcPr/>
          <w:p>
            <w:pPr>
              <w:pStyle w:val="Compact"/>
            </w:pPr>
            <w:r>
              <w:t xml:space="preserve">Structured summary of study design, methods, results and conclusions (for specific guidance, see STARD for Abstracts).</w:t>
            </w:r>
          </w:p>
        </w:tc>
        <w:tc>
          <w:tcPr/>
          <w:p>
            <w:pPr>
              <w:pStyle w:val="Compact"/>
            </w:pPr>
          </w:p>
        </w:tc>
      </w:tr>
      <w:tr>
        <w:tc>
          <w:tcPr/>
          <w:p>
            <w:pPr>
              <w:pStyle w:val="Compact"/>
            </w:pPr>
            <w:r>
              <w:t xml:space="preserve"> </w:t>
            </w:r>
            <w:r>
              <w:rPr>
                <w:b/>
                <w:bCs/>
              </w:rPr>
              <w:t xml:space="preserve">Introduction</w:t>
            </w:r>
          </w:p>
        </w:tc>
        <w:tc>
          <w:tcPr/>
          <w:p>
            <w:pPr>
              <w:pStyle w:val="Compact"/>
            </w:pPr>
          </w:p>
        </w:tc>
        <w:tc>
          <w:tcPr/>
          <w:p>
            <w:pPr>
              <w:pStyle w:val="Compact"/>
            </w:pPr>
          </w:p>
        </w:tc>
      </w:tr>
      <w:tr>
        <w:tc>
          <w:tcPr/>
          <w:p>
            <w:pPr>
              <w:pStyle w:val="Compact"/>
            </w:pPr>
            <w:hyperlink r:id="rId25">
              <w:r>
                <w:rPr>
                  <w:rStyle w:val="Hyperlink"/>
                </w:rPr>
                <w:t xml:space="preserve">3. Background</w:t>
              </w:r>
            </w:hyperlink>
          </w:p>
        </w:tc>
        <w:tc>
          <w:tcPr/>
          <w:p>
            <w:pPr>
              <w:pStyle w:val="Compact"/>
            </w:pPr>
            <w:r>
              <w:t xml:space="preserve">Scientific and clinical background, including the intended use and clinical role of the index test.</w:t>
            </w:r>
          </w:p>
        </w:tc>
        <w:tc>
          <w:tcPr/>
          <w:p>
            <w:pPr>
              <w:pStyle w:val="Compact"/>
            </w:pPr>
          </w:p>
        </w:tc>
      </w:tr>
      <w:tr>
        <w:tc>
          <w:tcPr/>
          <w:p>
            <w:pPr>
              <w:pStyle w:val="Compact"/>
            </w:pPr>
            <w:hyperlink r:id="rId26">
              <w:r>
                <w:rPr>
                  <w:rStyle w:val="Hyperlink"/>
                </w:rPr>
                <w:t xml:space="preserve">4. Objectives</w:t>
              </w:r>
            </w:hyperlink>
          </w:p>
        </w:tc>
        <w:tc>
          <w:tcPr/>
          <w:p>
            <w:pPr>
              <w:pStyle w:val="Compact"/>
            </w:pPr>
            <w:r>
              <w:t xml:space="preserve">Study objectives and hypotheses.</w:t>
            </w:r>
          </w:p>
        </w:tc>
        <w:tc>
          <w:tcPr/>
          <w:p>
            <w:pPr>
              <w:pStyle w:val="Compact"/>
            </w:pPr>
          </w:p>
        </w:tc>
      </w:tr>
      <w:tr>
        <w:tc>
          <w:tcPr/>
          <w:p>
            <w:pPr>
              <w:pStyle w:val="Compact"/>
            </w:pPr>
            <w:r>
              <w:t xml:space="preserve"> </w:t>
            </w:r>
            <w:r>
              <w:rPr>
                <w:b/>
                <w:bCs/>
              </w:rPr>
              <w:t xml:space="preserve">Methods</w:t>
            </w:r>
          </w:p>
        </w:tc>
        <w:tc>
          <w:tcPr/>
          <w:p>
            <w:pPr>
              <w:pStyle w:val="Compact"/>
            </w:pPr>
          </w:p>
        </w:tc>
        <w:tc>
          <w:tcPr/>
          <w:p>
            <w:pPr>
              <w:pStyle w:val="Compact"/>
            </w:pPr>
          </w:p>
        </w:tc>
      </w:tr>
      <w:tr>
        <w:tc>
          <w:tcPr/>
          <w:p>
            <w:pPr>
              <w:pStyle w:val="Compact"/>
            </w:pPr>
            <w:hyperlink r:id="rId27">
              <w:r>
                <w:rPr>
                  <w:rStyle w:val="Hyperlink"/>
                </w:rPr>
                <w:t xml:space="preserve">5. Study design</w:t>
              </w:r>
            </w:hyperlink>
          </w:p>
        </w:tc>
        <w:tc>
          <w:tcPr/>
          <w:p>
            <w:pPr>
              <w:pStyle w:val="Compact"/>
            </w:pPr>
            <w:r>
              <w:t xml:space="preserve">Whether data collection was planned before the index test and reference standard were performed (prospective study) or after (retrospective study).</w:t>
            </w:r>
          </w:p>
        </w:tc>
        <w:tc>
          <w:tcPr/>
          <w:p>
            <w:pPr>
              <w:pStyle w:val="Compact"/>
            </w:pPr>
          </w:p>
        </w:tc>
      </w:tr>
      <w:tr>
        <w:tc>
          <w:tcPr/>
          <w:p>
            <w:pPr>
              <w:pStyle w:val="Compact"/>
            </w:pPr>
            <w:r>
              <w:t xml:space="preserve"> </w:t>
            </w:r>
            <w:r>
              <w:t xml:space="preserve">Participants</w:t>
            </w:r>
          </w:p>
        </w:tc>
        <w:tc>
          <w:tcPr/>
          <w:p>
            <w:pPr>
              <w:pStyle w:val="Compact"/>
            </w:pPr>
          </w:p>
        </w:tc>
        <w:tc>
          <w:tcPr/>
          <w:p>
            <w:pPr>
              <w:pStyle w:val="Compact"/>
            </w:pPr>
          </w:p>
        </w:tc>
      </w:tr>
      <w:tr>
        <w:tc>
          <w:tcPr/>
          <w:p>
            <w:pPr>
              <w:pStyle w:val="Compact"/>
            </w:pPr>
            <w:hyperlink r:id="rId28">
              <w:r>
                <w:rPr>
                  <w:rStyle w:val="Hyperlink"/>
                </w:rPr>
                <w:t xml:space="preserve">6. Eligibility criteria</w:t>
              </w:r>
            </w:hyperlink>
          </w:p>
        </w:tc>
        <w:tc>
          <w:tcPr/>
          <w:p>
            <w:pPr>
              <w:pStyle w:val="Compact"/>
            </w:pPr>
            <w:r>
              <w:t xml:space="preserve">Eligibility criteria.</w:t>
            </w:r>
          </w:p>
        </w:tc>
        <w:tc>
          <w:tcPr/>
          <w:p>
            <w:pPr>
              <w:pStyle w:val="Compact"/>
            </w:pPr>
          </w:p>
        </w:tc>
      </w:tr>
      <w:tr>
        <w:tc>
          <w:tcPr/>
          <w:p>
            <w:pPr>
              <w:pStyle w:val="Compact"/>
            </w:pPr>
            <w:hyperlink r:id="rId29">
              <w:r>
                <w:rPr>
                  <w:rStyle w:val="Hyperlink"/>
                </w:rPr>
                <w:t xml:space="preserve">7. Identifying eligible participants</w:t>
              </w:r>
            </w:hyperlink>
          </w:p>
        </w:tc>
        <w:tc>
          <w:tcPr/>
          <w:p>
            <w:pPr>
              <w:pStyle w:val="Compact"/>
            </w:pPr>
            <w:r>
              <w:t xml:space="preserve">On what basis potentially eligible participants were identified (such as symptoms, results from previous tests, inclusion in registry).</w:t>
            </w:r>
          </w:p>
        </w:tc>
        <w:tc>
          <w:tcPr/>
          <w:p>
            <w:pPr>
              <w:pStyle w:val="Compact"/>
            </w:pPr>
          </w:p>
        </w:tc>
      </w:tr>
      <w:tr>
        <w:tc>
          <w:tcPr/>
          <w:p>
            <w:pPr>
              <w:pStyle w:val="Compact"/>
            </w:pPr>
            <w:hyperlink r:id="rId30">
              <w:r>
                <w:rPr>
                  <w:rStyle w:val="Hyperlink"/>
                </w:rPr>
                <w:t xml:space="preserve">8. Setting, location, and dates</w:t>
              </w:r>
            </w:hyperlink>
          </w:p>
        </w:tc>
        <w:tc>
          <w:tcPr/>
          <w:p>
            <w:pPr>
              <w:pStyle w:val="Compact"/>
            </w:pPr>
            <w:r>
              <w:t xml:space="preserve">Where and when potentially eligible participants were identified (setting, location and dates).</w:t>
            </w:r>
          </w:p>
        </w:tc>
        <w:tc>
          <w:tcPr/>
          <w:p>
            <w:pPr>
              <w:pStyle w:val="Compact"/>
            </w:pPr>
          </w:p>
        </w:tc>
      </w:tr>
      <w:tr>
        <w:tc>
          <w:tcPr/>
          <w:p>
            <w:pPr>
              <w:pStyle w:val="Compact"/>
            </w:pPr>
            <w:hyperlink r:id="rId31">
              <w:r>
                <w:rPr>
                  <w:rStyle w:val="Hyperlink"/>
                </w:rPr>
                <w:t xml:space="preserve">9. Consecutive, random or convenience series</w:t>
              </w:r>
            </w:hyperlink>
          </w:p>
        </w:tc>
        <w:tc>
          <w:tcPr/>
          <w:p>
            <w:pPr>
              <w:pStyle w:val="Compact"/>
            </w:pPr>
            <w:r>
              <w:t xml:space="preserve">Whether participants formed a consecutive, random or convenience series.</w:t>
            </w:r>
          </w:p>
        </w:tc>
        <w:tc>
          <w:tcPr/>
          <w:p>
            <w:pPr>
              <w:pStyle w:val="Compact"/>
            </w:pPr>
          </w:p>
        </w:tc>
      </w:tr>
      <w:tr>
        <w:tc>
          <w:tcPr/>
          <w:p>
            <w:pPr>
              <w:pStyle w:val="Compact"/>
            </w:pPr>
            <w:r>
              <w:t xml:space="preserve"> </w:t>
            </w:r>
            <w:r>
              <w:t xml:space="preserve">Test Methods</w:t>
            </w:r>
          </w:p>
        </w:tc>
        <w:tc>
          <w:tcPr/>
          <w:p>
            <w:pPr>
              <w:pStyle w:val="Compact"/>
            </w:pPr>
          </w:p>
        </w:tc>
        <w:tc>
          <w:tcPr/>
          <w:p>
            <w:pPr>
              <w:pStyle w:val="Compact"/>
            </w:pPr>
          </w:p>
        </w:tc>
      </w:tr>
      <w:tr>
        <w:tc>
          <w:tcPr/>
          <w:p>
            <w:pPr>
              <w:pStyle w:val="Compact"/>
            </w:pPr>
            <w:hyperlink r:id="rId32">
              <w:r>
                <w:rPr>
                  <w:rStyle w:val="Hyperlink"/>
                </w:rPr>
                <w:t xml:space="preserve">10. Index test &amp; Reference standard</w:t>
              </w:r>
            </w:hyperlink>
          </w:p>
        </w:tc>
        <w:tc>
          <w:tcPr/>
          <w:p>
            <w:pPr>
              <w:pStyle w:val="BodyText"/>
            </w:pPr>
            <w:r>
              <w:t xml:space="preserve">10a. Index test</w:t>
            </w:r>
          </w:p>
          <w:p>
            <w:pPr>
              <w:pStyle w:val="BodyText"/>
            </w:pPr>
            <w:r>
              <w:t xml:space="preserve">10b. Reference standard</w:t>
            </w:r>
          </w:p>
        </w:tc>
        <w:tc>
          <w:tcPr/>
          <w:p>
            <w:pPr>
              <w:pStyle w:val="Compact"/>
            </w:pPr>
          </w:p>
        </w:tc>
      </w:tr>
      <w:tr>
        <w:tc>
          <w:tcPr/>
          <w:p>
            <w:pPr>
              <w:pStyle w:val="Compact"/>
            </w:pPr>
            <w:hyperlink r:id="rId33">
              <w:r>
                <w:rPr>
                  <w:rStyle w:val="Hyperlink"/>
                </w:rPr>
                <w:t xml:space="preserve">11. Reference standard rationale</w:t>
              </w:r>
            </w:hyperlink>
          </w:p>
        </w:tc>
        <w:tc>
          <w:tcPr/>
          <w:p>
            <w:pPr>
              <w:pStyle w:val="Compact"/>
            </w:pPr>
            <w:r>
              <w:t xml:space="preserve">Rationale for choosing the reference standard (if alternatives exist).</w:t>
            </w:r>
          </w:p>
        </w:tc>
        <w:tc>
          <w:tcPr/>
          <w:p>
            <w:pPr>
              <w:pStyle w:val="Compact"/>
            </w:pPr>
          </w:p>
        </w:tc>
      </w:tr>
      <w:tr>
        <w:tc>
          <w:tcPr/>
          <w:p>
            <w:pPr>
              <w:pStyle w:val="Compact"/>
            </w:pPr>
            <w:hyperlink r:id="rId34">
              <w:r>
                <w:rPr>
                  <w:rStyle w:val="Hyperlink"/>
                </w:rPr>
                <w:t xml:space="preserve">12. Index test and reference standard cut-offs or categories</w:t>
              </w:r>
            </w:hyperlink>
          </w:p>
        </w:tc>
        <w:tc>
          <w:tcPr/>
          <w:p>
            <w:pPr>
              <w:pStyle w:val="BodyText"/>
            </w:pPr>
            <w:r>
              <w:t xml:space="preserve">12a. Definition of and rationale for test positivity cut-offs or result categories of the index test, distinguishing prespecified from exploratory.</w:t>
            </w:r>
          </w:p>
          <w:p>
            <w:pPr>
              <w:pStyle w:val="BodyText"/>
            </w:pPr>
            <w:r>
              <w:t xml:space="preserve">12b. Definition of and rationale for test positivity cut-offs or result categories of the reference standard, distinguishing prespecified from exploratory.</w:t>
            </w:r>
          </w:p>
        </w:tc>
        <w:tc>
          <w:tcPr/>
          <w:p>
            <w:pPr>
              <w:pStyle w:val="Compact"/>
            </w:pPr>
          </w:p>
        </w:tc>
      </w:tr>
      <w:tr>
        <w:tc>
          <w:tcPr/>
          <w:p>
            <w:pPr>
              <w:pStyle w:val="Compact"/>
            </w:pPr>
            <w:hyperlink r:id="rId35">
              <w:r>
                <w:rPr>
                  <w:rStyle w:val="Hyperlink"/>
                </w:rPr>
                <w:t xml:space="preserve">13. Information available to performers or readers of the index test and reference standard assessors</w:t>
              </w:r>
            </w:hyperlink>
          </w:p>
        </w:tc>
        <w:tc>
          <w:tcPr/>
          <w:p>
            <w:pPr>
              <w:pStyle w:val="BodyText"/>
            </w:pPr>
            <w:r>
              <w:t xml:space="preserve">13a. Whether clinical information and reference standard results were available to the performers or readers of the index test.</w:t>
            </w:r>
          </w:p>
          <w:p>
            <w:pPr>
              <w:pStyle w:val="BodyText"/>
            </w:pPr>
            <w:r>
              <w:t xml:space="preserve">13b. Whether clinical information and index test results were available to the assessors of the reference standard.</w:t>
            </w:r>
          </w:p>
        </w:tc>
        <w:tc>
          <w:tcPr/>
          <w:p>
            <w:pPr>
              <w:pStyle w:val="Compact"/>
            </w:pPr>
          </w:p>
        </w:tc>
      </w:tr>
      <w:tr>
        <w:tc>
          <w:tcPr/>
          <w:p>
            <w:pPr>
              <w:pStyle w:val="Compact"/>
            </w:pPr>
            <w:r>
              <w:t xml:space="preserve"> </w:t>
            </w:r>
            <w:r>
              <w:t xml:space="preserve">Analysis</w:t>
            </w:r>
          </w:p>
        </w:tc>
        <w:tc>
          <w:tcPr/>
          <w:p>
            <w:pPr>
              <w:pStyle w:val="Compact"/>
            </w:pPr>
          </w:p>
        </w:tc>
        <w:tc>
          <w:tcPr/>
          <w:p>
            <w:pPr>
              <w:pStyle w:val="Compact"/>
            </w:pPr>
          </w:p>
        </w:tc>
      </w:tr>
      <w:tr>
        <w:tc>
          <w:tcPr/>
          <w:p>
            <w:pPr>
              <w:pStyle w:val="Compact"/>
            </w:pPr>
            <w:hyperlink r:id="rId36">
              <w:r>
                <w:rPr>
                  <w:rStyle w:val="Hyperlink"/>
                </w:rPr>
                <w:t xml:space="preserve">14. Analysis methods</w:t>
              </w:r>
            </w:hyperlink>
          </w:p>
        </w:tc>
        <w:tc>
          <w:tcPr/>
          <w:p>
            <w:pPr>
              <w:pStyle w:val="Compact"/>
            </w:pPr>
            <w:r>
              <w:t xml:space="preserve">Methods for estimating or comparing measures of diagnostic accuracy.</w:t>
            </w:r>
          </w:p>
        </w:tc>
        <w:tc>
          <w:tcPr/>
          <w:p>
            <w:pPr>
              <w:pStyle w:val="Compact"/>
            </w:pPr>
          </w:p>
        </w:tc>
      </w:tr>
      <w:tr>
        <w:tc>
          <w:tcPr/>
          <w:p>
            <w:pPr>
              <w:pStyle w:val="Compact"/>
            </w:pPr>
            <w:hyperlink r:id="rId37">
              <w:r>
                <w:rPr>
                  <w:rStyle w:val="Hyperlink"/>
                </w:rPr>
                <w:t xml:space="preserve">15. Indeterminate results</w:t>
              </w:r>
            </w:hyperlink>
          </w:p>
        </w:tc>
        <w:tc>
          <w:tcPr/>
          <w:p>
            <w:pPr>
              <w:pStyle w:val="Compact"/>
            </w:pPr>
            <w:r>
              <w:t xml:space="preserve">How indeterminate index test or reference standard results were handled.</w:t>
            </w:r>
          </w:p>
        </w:tc>
        <w:tc>
          <w:tcPr/>
          <w:p>
            <w:pPr>
              <w:pStyle w:val="Compact"/>
            </w:pPr>
          </w:p>
        </w:tc>
      </w:tr>
      <w:tr>
        <w:tc>
          <w:tcPr/>
          <w:p>
            <w:pPr>
              <w:pStyle w:val="Compact"/>
            </w:pPr>
            <w:hyperlink r:id="rId38">
              <w:r>
                <w:rPr>
                  <w:rStyle w:val="Hyperlink"/>
                </w:rPr>
                <w:t xml:space="preserve">16. Missing data</w:t>
              </w:r>
            </w:hyperlink>
          </w:p>
        </w:tc>
        <w:tc>
          <w:tcPr/>
          <w:p>
            <w:pPr>
              <w:pStyle w:val="Compact"/>
            </w:pPr>
            <w:r>
              <w:t xml:space="preserve">How missing data on the index test and reference standard were handled.</w:t>
            </w:r>
          </w:p>
        </w:tc>
        <w:tc>
          <w:tcPr/>
          <w:p>
            <w:pPr>
              <w:pStyle w:val="Compact"/>
            </w:pPr>
          </w:p>
        </w:tc>
      </w:tr>
      <w:tr>
        <w:tc>
          <w:tcPr/>
          <w:p>
            <w:pPr>
              <w:pStyle w:val="Compact"/>
            </w:pPr>
            <w:hyperlink r:id="rId39">
              <w:r>
                <w:rPr>
                  <w:rStyle w:val="Hyperlink"/>
                </w:rPr>
                <w:t xml:space="preserve">17. Variability</w:t>
              </w:r>
            </w:hyperlink>
          </w:p>
        </w:tc>
        <w:tc>
          <w:tcPr/>
          <w:p>
            <w:pPr>
              <w:pStyle w:val="Compact"/>
            </w:pPr>
            <w:r>
              <w:t xml:space="preserve">Any analyses of variability in diagnostic accuracy, distinguishing prespecified from exploratory.</w:t>
            </w:r>
          </w:p>
        </w:tc>
        <w:tc>
          <w:tcPr/>
          <w:p>
            <w:pPr>
              <w:pStyle w:val="Compact"/>
            </w:pPr>
          </w:p>
        </w:tc>
      </w:tr>
      <w:tr>
        <w:tc>
          <w:tcPr/>
          <w:p>
            <w:pPr>
              <w:pStyle w:val="Compact"/>
            </w:pPr>
            <w:hyperlink r:id="rId40">
              <w:r>
                <w:rPr>
                  <w:rStyle w:val="Hyperlink"/>
                </w:rPr>
                <w:t xml:space="preserve">18. Intended sample size</w:t>
              </w:r>
            </w:hyperlink>
          </w:p>
        </w:tc>
        <w:tc>
          <w:tcPr/>
          <w:p>
            <w:pPr>
              <w:pStyle w:val="Compact"/>
            </w:pPr>
            <w:r>
              <w:t xml:space="preserve">Intended sample size and how it was determined.</w:t>
            </w:r>
          </w:p>
        </w:tc>
        <w:tc>
          <w:tcPr/>
          <w:p>
            <w:pPr>
              <w:pStyle w:val="Compact"/>
            </w:pPr>
          </w:p>
        </w:tc>
      </w:tr>
      <w:tr>
        <w:tc>
          <w:tcPr/>
          <w:p>
            <w:pPr>
              <w:pStyle w:val="Compact"/>
            </w:pPr>
            <w:r>
              <w:t xml:space="preserve"> </w:t>
            </w:r>
            <w:r>
              <w:rPr>
                <w:b/>
                <w:bCs/>
              </w:rPr>
              <w:t xml:space="preserve">Results</w:t>
            </w:r>
          </w:p>
        </w:tc>
        <w:tc>
          <w:tcPr/>
          <w:p>
            <w:pPr>
              <w:pStyle w:val="Compact"/>
            </w:pPr>
          </w:p>
        </w:tc>
        <w:tc>
          <w:tcPr/>
          <w:p>
            <w:pPr>
              <w:pStyle w:val="Compact"/>
            </w:pPr>
          </w:p>
        </w:tc>
      </w:tr>
      <w:tr>
        <w:tc>
          <w:tcPr/>
          <w:p>
            <w:pPr>
              <w:pStyle w:val="Compact"/>
            </w:pPr>
            <w:r>
              <w:t xml:space="preserve"> </w:t>
            </w:r>
            <w:r>
              <w:t xml:space="preserve">Participants</w:t>
            </w:r>
          </w:p>
        </w:tc>
        <w:tc>
          <w:tcPr/>
          <w:p>
            <w:pPr>
              <w:pStyle w:val="Compact"/>
            </w:pPr>
          </w:p>
        </w:tc>
        <w:tc>
          <w:tcPr/>
          <w:p>
            <w:pPr>
              <w:pStyle w:val="Compact"/>
            </w:pPr>
          </w:p>
        </w:tc>
      </w:tr>
      <w:tr>
        <w:tc>
          <w:tcPr/>
          <w:p>
            <w:pPr>
              <w:pStyle w:val="Compact"/>
            </w:pPr>
            <w:hyperlink r:id="rId41">
              <w:r>
                <w:rPr>
                  <w:rStyle w:val="Hyperlink"/>
                </w:rPr>
                <w:t xml:space="preserve">19. Participant flow diagram</w:t>
              </w:r>
            </w:hyperlink>
          </w:p>
        </w:tc>
        <w:tc>
          <w:tcPr/>
          <w:p>
            <w:pPr>
              <w:pStyle w:val="Compact"/>
            </w:pPr>
            <w:r>
              <w:t xml:space="preserve">Flow of participants, using a diagram.</w:t>
            </w:r>
          </w:p>
        </w:tc>
        <w:tc>
          <w:tcPr/>
          <w:p>
            <w:pPr>
              <w:pStyle w:val="Compact"/>
            </w:pPr>
          </w:p>
        </w:tc>
      </w:tr>
      <w:tr>
        <w:tc>
          <w:tcPr/>
          <w:p>
            <w:pPr>
              <w:pStyle w:val="Compact"/>
            </w:pPr>
            <w:hyperlink r:id="rId42">
              <w:r>
                <w:rPr>
                  <w:rStyle w:val="Hyperlink"/>
                </w:rPr>
                <w:t xml:space="preserve">20. Baseline characteristics</w:t>
              </w:r>
            </w:hyperlink>
          </w:p>
        </w:tc>
        <w:tc>
          <w:tcPr/>
          <w:p>
            <w:pPr>
              <w:pStyle w:val="Compact"/>
            </w:pPr>
            <w:r>
              <w:t xml:space="preserve">Baseline demographic and clinical characteristics of participants.</w:t>
            </w:r>
          </w:p>
        </w:tc>
        <w:tc>
          <w:tcPr/>
          <w:p>
            <w:pPr>
              <w:pStyle w:val="Compact"/>
            </w:pPr>
          </w:p>
        </w:tc>
      </w:tr>
      <w:tr>
        <w:tc>
          <w:tcPr/>
          <w:p>
            <w:pPr>
              <w:pStyle w:val="Compact"/>
            </w:pPr>
            <w:hyperlink r:id="rId43">
              <w:r>
                <w:rPr>
                  <w:rStyle w:val="Hyperlink"/>
                </w:rPr>
                <w:t xml:space="preserve">21a. Participants with and without the target condition</w:t>
              </w:r>
            </w:hyperlink>
          </w:p>
        </w:tc>
        <w:tc>
          <w:tcPr/>
          <w:p>
            <w:pPr>
              <w:pStyle w:val="BodyText"/>
            </w:pPr>
            <w:r>
              <w:t xml:space="preserve">21a. Distribution of severity of disease in those with the target condition.</w:t>
            </w:r>
          </w:p>
          <w:p>
            <w:pPr>
              <w:pStyle w:val="BodyText"/>
            </w:pPr>
            <w:r>
              <w:t xml:space="preserve">21b. Distribution of alternative diagnoses in those without the target condition</w:t>
            </w:r>
          </w:p>
        </w:tc>
        <w:tc>
          <w:tcPr/>
          <w:p>
            <w:pPr>
              <w:pStyle w:val="Compact"/>
            </w:pPr>
          </w:p>
        </w:tc>
      </w:tr>
      <w:tr>
        <w:tc>
          <w:tcPr/>
          <w:p>
            <w:pPr>
              <w:pStyle w:val="Compact"/>
            </w:pPr>
            <w:hyperlink r:id="rId44">
              <w:r>
                <w:rPr>
                  <w:rStyle w:val="Hyperlink"/>
                </w:rPr>
                <w:t xml:space="preserve">22. Time interval</w:t>
              </w:r>
            </w:hyperlink>
          </w:p>
        </w:tc>
        <w:tc>
          <w:tcPr/>
          <w:p>
            <w:pPr>
              <w:pStyle w:val="Compact"/>
            </w:pPr>
            <w:r>
              <w:t xml:space="preserve">Time interval and any clinical interventions between index test and reference standard.</w:t>
            </w:r>
          </w:p>
        </w:tc>
        <w:tc>
          <w:tcPr/>
          <w:p>
            <w:pPr>
              <w:pStyle w:val="Compact"/>
            </w:pPr>
          </w:p>
        </w:tc>
      </w:tr>
      <w:tr>
        <w:tc>
          <w:tcPr/>
          <w:p>
            <w:pPr>
              <w:pStyle w:val="Compact"/>
            </w:pPr>
            <w:r>
              <w:t xml:space="preserve"> </w:t>
            </w:r>
            <w:r>
              <w:t xml:space="preserve">Test Results</w:t>
            </w:r>
          </w:p>
        </w:tc>
        <w:tc>
          <w:tcPr/>
          <w:p>
            <w:pPr>
              <w:pStyle w:val="Compact"/>
            </w:pPr>
          </w:p>
        </w:tc>
        <w:tc>
          <w:tcPr/>
          <w:p>
            <w:pPr>
              <w:pStyle w:val="Compact"/>
            </w:pPr>
          </w:p>
        </w:tc>
      </w:tr>
      <w:tr>
        <w:tc>
          <w:tcPr/>
          <w:p>
            <w:pPr>
              <w:pStyle w:val="Compact"/>
            </w:pPr>
            <w:hyperlink r:id="rId45">
              <w:r>
                <w:rPr>
                  <w:rStyle w:val="Hyperlink"/>
                </w:rPr>
                <w:t xml:space="preserve">23. Index test and reference standard results</w:t>
              </w:r>
            </w:hyperlink>
          </w:p>
        </w:tc>
        <w:tc>
          <w:tcPr/>
          <w:p>
            <w:pPr>
              <w:pStyle w:val="Compact"/>
            </w:pPr>
            <w:r>
              <w:t xml:space="preserve">Cross tabulation of the index test results (or their distribution) by the results of the reference standard.</w:t>
            </w:r>
          </w:p>
        </w:tc>
        <w:tc>
          <w:tcPr/>
          <w:p>
            <w:pPr>
              <w:pStyle w:val="Compact"/>
            </w:pPr>
          </w:p>
        </w:tc>
      </w:tr>
      <w:tr>
        <w:tc>
          <w:tcPr/>
          <w:p>
            <w:pPr>
              <w:pStyle w:val="Compact"/>
            </w:pPr>
            <w:hyperlink r:id="rId46">
              <w:r>
                <w:rPr>
                  <w:rStyle w:val="Hyperlink"/>
                </w:rPr>
                <w:t xml:space="preserve">24. Estimates of accuracy</w:t>
              </w:r>
            </w:hyperlink>
          </w:p>
        </w:tc>
        <w:tc>
          <w:tcPr/>
          <w:p>
            <w:pPr>
              <w:pStyle w:val="Compact"/>
            </w:pPr>
            <w:r>
              <w:t xml:space="preserve">Estimates of diagnostic accuracy and their precision (such as 95% CIs).</w:t>
            </w:r>
          </w:p>
        </w:tc>
        <w:tc>
          <w:tcPr/>
          <w:p>
            <w:pPr>
              <w:pStyle w:val="Compact"/>
            </w:pPr>
          </w:p>
        </w:tc>
      </w:tr>
      <w:tr>
        <w:tc>
          <w:tcPr/>
          <w:p>
            <w:pPr>
              <w:pStyle w:val="Compact"/>
            </w:pPr>
            <w:hyperlink r:id="rId47">
              <w:r>
                <w:rPr>
                  <w:rStyle w:val="Hyperlink"/>
                </w:rPr>
                <w:t xml:space="preserve">25. Adverse events</w:t>
              </w:r>
            </w:hyperlink>
          </w:p>
        </w:tc>
        <w:tc>
          <w:tcPr/>
          <w:p>
            <w:pPr>
              <w:pStyle w:val="Compact"/>
            </w:pPr>
            <w:r>
              <w:t xml:space="preserve">Any adverse events from performing the index test or the reference standard.</w:t>
            </w:r>
          </w:p>
        </w:tc>
        <w:tc>
          <w:tcPr/>
          <w:p>
            <w:pPr>
              <w:pStyle w:val="Compact"/>
            </w:pPr>
          </w:p>
        </w:tc>
      </w:tr>
      <w:tr>
        <w:tc>
          <w:tcPr/>
          <w:p>
            <w:pPr>
              <w:pStyle w:val="Compact"/>
            </w:pPr>
            <w:r>
              <w:t xml:space="preserve"> </w:t>
            </w:r>
            <w:r>
              <w:rPr>
                <w:b/>
                <w:bCs/>
              </w:rPr>
              <w:t xml:space="preserve">Discussion</w:t>
            </w:r>
          </w:p>
        </w:tc>
        <w:tc>
          <w:tcPr/>
          <w:p>
            <w:pPr>
              <w:pStyle w:val="Compact"/>
            </w:pPr>
          </w:p>
        </w:tc>
        <w:tc>
          <w:tcPr/>
          <w:p>
            <w:pPr>
              <w:pStyle w:val="Compact"/>
            </w:pPr>
          </w:p>
        </w:tc>
      </w:tr>
      <w:tr>
        <w:tc>
          <w:tcPr/>
          <w:p>
            <w:pPr>
              <w:pStyle w:val="Compact"/>
            </w:pPr>
            <w:hyperlink r:id="rId48">
              <w:r>
                <w:rPr>
                  <w:rStyle w:val="Hyperlink"/>
                </w:rPr>
                <w:t xml:space="preserve">26. Limitations</w:t>
              </w:r>
            </w:hyperlink>
          </w:p>
        </w:tc>
        <w:tc>
          <w:tcPr/>
          <w:p>
            <w:pPr>
              <w:pStyle w:val="Compact"/>
            </w:pPr>
            <w:r>
              <w:t xml:space="preserve">Study limitations, including sources of potential bias, statistical uncertainty and generalisability.</w:t>
            </w:r>
          </w:p>
        </w:tc>
        <w:tc>
          <w:tcPr/>
          <w:p>
            <w:pPr>
              <w:pStyle w:val="Compact"/>
            </w:pPr>
          </w:p>
        </w:tc>
      </w:tr>
      <w:tr>
        <w:tc>
          <w:tcPr/>
          <w:p>
            <w:pPr>
              <w:pStyle w:val="Compact"/>
            </w:pPr>
            <w:hyperlink r:id="rId49">
              <w:r>
                <w:rPr>
                  <w:rStyle w:val="Hyperlink"/>
                </w:rPr>
                <w:t xml:space="preserve">27. Implications for Practice</w:t>
              </w:r>
            </w:hyperlink>
          </w:p>
        </w:tc>
        <w:tc>
          <w:tcPr/>
          <w:p>
            <w:pPr>
              <w:pStyle w:val="Compact"/>
            </w:pPr>
            <w:r>
              <w:t xml:space="preserve">Implications for practice, including the intended use and clinical role of the index test.</w:t>
            </w:r>
          </w:p>
        </w:tc>
        <w:tc>
          <w:tcPr/>
          <w:p>
            <w:pPr>
              <w:pStyle w:val="Compact"/>
            </w:pPr>
          </w:p>
        </w:tc>
      </w:tr>
      <w:tr>
        <w:tc>
          <w:tcPr/>
          <w:p>
            <w:pPr>
              <w:pStyle w:val="Compact"/>
            </w:pPr>
            <w:r>
              <w:t xml:space="preserve"> </w:t>
            </w:r>
            <w:r>
              <w:rPr>
                <w:b/>
                <w:bCs/>
              </w:rPr>
              <w:t xml:space="preserve">Other information</w:t>
            </w:r>
          </w:p>
        </w:tc>
        <w:tc>
          <w:tcPr/>
          <w:p>
            <w:pPr>
              <w:pStyle w:val="Compact"/>
            </w:pPr>
          </w:p>
        </w:tc>
        <w:tc>
          <w:tcPr/>
          <w:p>
            <w:pPr>
              <w:pStyle w:val="Compact"/>
            </w:pPr>
          </w:p>
        </w:tc>
      </w:tr>
      <w:tr>
        <w:tc>
          <w:tcPr/>
          <w:p>
            <w:pPr>
              <w:pStyle w:val="Compact"/>
            </w:pPr>
            <w:hyperlink r:id="rId50">
              <w:r>
                <w:rPr>
                  <w:rStyle w:val="Hyperlink"/>
                </w:rPr>
                <w:t xml:space="preserve">28. Registration</w:t>
              </w:r>
            </w:hyperlink>
          </w:p>
        </w:tc>
        <w:tc>
          <w:tcPr/>
          <w:p>
            <w:pPr>
              <w:pStyle w:val="Compact"/>
            </w:pPr>
            <w:r>
              <w:t xml:space="preserve">Registration number and name of registry.</w:t>
            </w:r>
          </w:p>
        </w:tc>
        <w:tc>
          <w:tcPr/>
          <w:p>
            <w:pPr>
              <w:pStyle w:val="Compact"/>
            </w:pPr>
          </w:p>
        </w:tc>
      </w:tr>
      <w:tr>
        <w:tc>
          <w:tcPr/>
          <w:p>
            <w:pPr>
              <w:pStyle w:val="Compact"/>
            </w:pPr>
            <w:hyperlink r:id="rId51">
              <w:r>
                <w:rPr>
                  <w:rStyle w:val="Hyperlink"/>
                </w:rPr>
                <w:t xml:space="preserve">29. Protocol</w:t>
              </w:r>
            </w:hyperlink>
          </w:p>
        </w:tc>
        <w:tc>
          <w:tcPr/>
          <w:p>
            <w:pPr>
              <w:pStyle w:val="Compact"/>
            </w:pPr>
            <w:r>
              <w:t xml:space="preserve">Where the full study protocol can be accessed.</w:t>
            </w:r>
          </w:p>
        </w:tc>
        <w:tc>
          <w:tcPr/>
          <w:p>
            <w:pPr>
              <w:pStyle w:val="Compact"/>
            </w:pPr>
          </w:p>
        </w:tc>
      </w:tr>
      <w:tr>
        <w:tc>
          <w:tcPr/>
          <w:p>
            <w:pPr>
              <w:pStyle w:val="Compact"/>
            </w:pPr>
            <w:hyperlink r:id="rId52">
              <w:r>
                <w:rPr>
                  <w:rStyle w:val="Hyperlink"/>
                </w:rPr>
                <w:t xml:space="preserve">30. Funding</w:t>
              </w:r>
            </w:hyperlink>
          </w:p>
        </w:tc>
        <w:tc>
          <w:tcPr/>
          <w:p>
            <w:pPr>
              <w:pStyle w:val="Compact"/>
            </w:pPr>
            <w:r>
              <w:t xml:space="preserve">Sources of funding and other support; role of funders.</w:t>
            </w:r>
          </w:p>
        </w:tc>
        <w:tc>
          <w:tcPr/>
          <w:p>
            <w:pPr>
              <w:pStyle w:val="Compact"/>
            </w:pPr>
          </w:p>
        </w:tc>
      </w:tr>
    </w:tbl>
    <w:p>
      <w:pPr>
        <w:pStyle w:val="BodyText"/>
      </w:pPr>
    </w:p>
    <w:bookmarkStart w:id="53" w:name="sec-specify"/>
    <w:p>
      <w:pPr>
        <w:pStyle w:val="Heading2"/>
      </w:pPr>
      <w:r>
        <w:t xml:space="preserve">1 How to specify where content is</w:t>
      </w:r>
    </w:p>
    <w:p>
      <w:pPr>
        <w:pStyle w:val="FirstParagraph"/>
      </w:pPr>
      <w:r>
        <w:t xml:space="preserve">Tell the reader where they can find information. E.g.,</w:t>
      </w:r>
    </w:p>
    <w:p>
      <w:pPr>
        <w:pStyle w:val="Compact"/>
        <w:numPr>
          <w:ilvl w:val="0"/>
          <w:numId w:val="1002"/>
        </w:numPr>
      </w:pPr>
      <w:r>
        <w:t xml:space="preserve">Results; paragraph 2</w:t>
      </w:r>
    </w:p>
    <w:p>
      <w:pPr>
        <w:pStyle w:val="Compact"/>
        <w:numPr>
          <w:ilvl w:val="0"/>
          <w:numId w:val="1002"/>
        </w:numPr>
      </w:pPr>
      <w:r>
        <w:t xml:space="preserve">Methods, Participants; paragraphs 1 &amp; 2.</w:t>
      </w:r>
    </w:p>
    <w:p>
      <w:pPr>
        <w:pStyle w:val="Compact"/>
        <w:numPr>
          <w:ilvl w:val="0"/>
          <w:numId w:val="1002"/>
        </w:numPr>
      </w:pPr>
      <w:r>
        <w:t xml:space="preserve">Table 3</w:t>
      </w:r>
    </w:p>
    <w:p>
      <w:pPr>
        <w:pStyle w:val="Compact"/>
        <w:numPr>
          <w:ilvl w:val="0"/>
          <w:numId w:val="1002"/>
        </w:numPr>
      </w:pPr>
      <w:r>
        <w:t xml:space="preserve">Supplement B, para. 4</w:t>
      </w:r>
    </w:p>
    <w:p>
      <w:pPr>
        <w:pStyle w:val="FirstParagraph"/>
      </w:pPr>
      <w:r>
        <w:t xml:space="preserve">If you have chosen not to describe an item, explain why. You can do this in the checklist, or as a note below it.</w:t>
      </w:r>
    </w:p>
    <w:p>
      <w:pPr>
        <w:pStyle w:val="BodyText"/>
      </w:pPr>
      <w:r>
        <w:t xml:space="preserve">You can describe items in the article body, or in tables, figures, or supplementary materials, and should prioritize items you feel are most important to your intended audience. The order of items in your manuscript does not need to match the order of items in this checklist. You can decide how best to structure your work.</w:t>
      </w:r>
    </w:p>
    <w:bookmarkEnd w:id="53"/>
    <w:bookmarkStart w:id="59" w:name="sec-cite"/>
    <w:p>
      <w:pPr>
        <w:pStyle w:val="Heading2"/>
      </w:pPr>
      <w:r>
        <w:t xml:space="preserve">2 How to cite</w:t>
      </w:r>
    </w:p>
    <w:p>
      <w:pPr>
        <w:pStyle w:val="FirstParagraph"/>
      </w:pPr>
      <w:r>
        <w:t xml:space="preserve">Describe how you used STARD at the end of your Methods section, referencing the resources you used e.g.,</w:t>
      </w:r>
    </w:p>
    <w:p>
      <w:pPr>
        <w:pStyle w:val="BlockText"/>
      </w:pPr>
      <w:r>
        <w:t xml:space="preserve">‘We used the STARD reporting guideline</w:t>
      </w:r>
      <w:r>
        <w:t xml:space="preserve">(1)</w:t>
      </w:r>
      <w:r>
        <w:t xml:space="preserve"> </w:t>
      </w:r>
      <w:r>
        <w:t xml:space="preserve">to draft this manuscript, and the STARD reporting checklist</w:t>
      </w:r>
      <w:r>
        <w:t xml:space="preserve">(2)</w:t>
      </w:r>
      <w:r>
        <w:t xml:space="preserve"> </w:t>
      </w:r>
      <w:r>
        <w:t xml:space="preserve">when editing, included in supplement A’</w:t>
      </w:r>
    </w:p>
    <w:p>
      <w:pPr>
        <w:pStyle w:val="FirstParagraph"/>
      </w:pPr>
      <w:r>
        <w:t xml:space="preserve">If you use a reporting checklist, remember to include it as a supplement when publishing so that readers can easily find information and see how you have interpreted the guidance.</w:t>
      </w:r>
    </w:p>
    <w:bookmarkStart w:id="58" w:name="refs"/>
    <w:bookmarkStart w:id="55" w:name="ref-Citation"/>
    <w:p>
      <w:pPr>
        <w:pStyle w:val="Bibliography"/>
      </w:pPr>
      <w:r>
        <w:t xml:space="preserve">1.</w:t>
      </w:r>
      <w:r>
        <w:t xml:space="preserve"> </w:t>
      </w:r>
      <w:r>
        <w:t xml:space="preserve">	</w:t>
      </w:r>
      <w:r>
        <w:t xml:space="preserve">Bossuyt PM, Reitsma JB, Bruns DE, Gatsonis CA, Glasziou PP, Irwig L, et al. STARD 2015: An updated list of essential items for reporting diagnostic accuracy studies. BMJ [Internet]. 2015 Oct;351:h5527. Available from:</w:t>
      </w:r>
      <w:r>
        <w:t xml:space="preserve"> </w:t>
      </w:r>
      <w:hyperlink r:id="rId54">
        <w:r>
          <w:rPr>
            <w:rStyle w:val="Hyperlink"/>
          </w:rPr>
          <w:t xml:space="preserve">https://www.bmj.com/content/351/bmj.h5527</w:t>
        </w:r>
      </w:hyperlink>
    </w:p>
    <w:bookmarkEnd w:id="55"/>
    <w:bookmarkStart w:id="57" w:name="ref-Checklist"/>
    <w:p>
      <w:pPr>
        <w:pStyle w:val="Bibliography"/>
      </w:pPr>
      <w:r>
        <w:t xml:space="preserve">2.</w:t>
      </w:r>
      <w:r>
        <w:t xml:space="preserve"> </w:t>
      </w:r>
      <w:r>
        <w:t xml:space="preserve">	</w:t>
      </w:r>
      <w:r>
        <w:t xml:space="preserve">Bossuyt PM, Reitsma JB, Bruns DE, Gatsonis CA, Glasziou PP, Irwig L, et al. The STARD reporting checklist. In: Harwood J, Albury C, Beyer J de, Schlüssel M, Collins G, editors. The EQUATOR network reporting guideline platform [Internet]. The UK EQUATOR Centre; 2025. Available from:</w:t>
      </w:r>
      <w:r>
        <w:t xml:space="preserve"> </w:t>
      </w:r>
      <w:hyperlink r:id="rId56">
        <w:r>
          <w:rPr>
            <w:rStyle w:val="Hyperlink"/>
          </w:rPr>
          <w:t xml:space="preserve">https:/resources.equator-network.org/reporting-guidelines/stard/stard-checklist.docx</w:t>
        </w:r>
      </w:hyperlink>
    </w:p>
    <w:bookmarkEnd w:id="57"/>
    <w:bookmarkEnd w:id="58"/>
    <w:bookmarkEnd w:id="59"/>
    <w:sectPr w:rsidR="00622D4A" w:rsidSect="002A13D1">
      <w:headerReference r:id="rId9" w:type="first"/>
      <w:footnotePr>
        <w:numRestart w:val="eachSect"/>
      </w:footnotePr>
      <w:pgSz w:h="15840" w:w="12240"/>
      <w:pgMar w:bottom="720" w:footer="720" w:gutter="0" w:header="720" w:left="720" w:right="720" w:top="72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0A86" w14:textId="503CA63F" w:rsidR="002A13D1" w:rsidRPr="002A13D1" w:rsidRDefault="00DA45FA" w:rsidP="0008745B">
    <w:pPr>
      <w:pStyle w:val="Header"/>
      <w:jc w:val="right"/>
      <w:rPr>
        <w:lang w:val="en-GB"/>
      </w:rPr>
    </w:pPr>
    <w:r>
      <w:rPr>
        <w:noProof/>
        <w:lang w:val="en-GB"/>
      </w:rPr>
      <w:drawing>
        <wp:inline distT="0" distB="0" distL="0" distR="0" wp14:anchorId="41C2A949" wp14:editId="22FF80A1">
          <wp:extent cx="1576070" cy="457569"/>
          <wp:effectExtent l="0" t="0" r="0" b="0"/>
          <wp:docPr id="1890600879"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00879" name="Picture 3"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50551" cy="479192"/>
                  </a:xfrm>
                  <a:prstGeom prst="rect">
                    <a:avLst/>
                  </a:prstGeom>
                </pic:spPr>
              </pic:pic>
            </a:graphicData>
          </a:graphic>
        </wp:inline>
      </w:drawing>
    </w:r>
    <w:r>
      <w:rPr>
        <w:noProof/>
        <w:lang w:val="en-GB"/>
      </w:rPr>
      <w:drawing>
        <wp:inline distT="0" distB="0" distL="0" distR="0" wp14:anchorId="7181E048" wp14:editId="11755790">
          <wp:extent cx="1467945" cy="458470"/>
          <wp:effectExtent l="0" t="0" r="0" b="0"/>
          <wp:docPr id="120563871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38713" name="Graphic 1205638713"/>
                  <pic:cNvPicPr/>
                </pic:nvPicPr>
                <pic:blipFill>
                  <a:blip r:embed="rId2">
                    <a:extLst>
                      <a:ext uri="{96DAC541-7B7A-43D3-8B79-37D633B846F1}">
                        <asvg:svgBlip xmlns:asvg="http://schemas.microsoft.com/office/drawing/2016/SVG/main" r:embed="rId3"/>
                      </a:ext>
                    </a:extLst>
                  </a:blip>
                  <a:stretch>
                    <a:fillRect/>
                  </a:stretch>
                </pic:blipFill>
                <pic:spPr>
                  <a:xfrm>
                    <a:off x="0" y="0"/>
                    <a:ext cx="1616281" cy="504799"/>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7068AD0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27412441"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622D4A"/>
    <w:rsid w:val="00022633"/>
    <w:rsid w:val="0008745B"/>
    <w:rsid w:val="000876FD"/>
    <w:rsid w:val="000B6852"/>
    <w:rsid w:val="002A13D1"/>
    <w:rsid w:val="003D3234"/>
    <w:rsid w:val="00622D4A"/>
    <w:rsid w:val="00794F65"/>
    <w:rsid w:val="00901047"/>
    <w:rsid w:val="00915861"/>
    <w:rsid w:val="00957564"/>
    <w:rsid w:val="009B6688"/>
    <w:rsid w:val="009C620F"/>
    <w:rsid w:val="009D620D"/>
    <w:rsid w:val="00A05ED7"/>
    <w:rsid w:val="00A475A0"/>
    <w:rsid w:val="00AF6F97"/>
    <w:rsid w:val="00B31C7A"/>
    <w:rsid w:val="00BA662C"/>
    <w:rsid w:val="00BF41D5"/>
    <w:rsid w:val="00C739A6"/>
    <w:rsid w:val="00CF77C1"/>
    <w:rsid w:val="00DA140F"/>
    <w:rsid w:val="00DA45FA"/>
    <w:rsid w:val="00E209B4"/>
    <w:rsid w:val="00E96647"/>
    <w:rsid w:val="00F6011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05ED7"/>
    <w:rPr>
      <w:rFonts w:ascii="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05ED7"/>
    <w:pPr>
      <w:spacing w:after="80"/>
      <w:contextualSpacing/>
    </w:pPr>
    <w:rPr>
      <w:rFonts w:cstheme="majorBidi" w:eastAsiaTheme="majorEastAsia"/>
      <w:spacing w:val="-10"/>
      <w:kern w:val="28"/>
      <w:sz w:val="56"/>
      <w:szCs w:val="56"/>
    </w:rPr>
  </w:style>
  <w:style w:customStyle="1" w:styleId="TitleChar" w:type="character">
    <w:name w:val="Title Char"/>
    <w:basedOn w:val="DefaultParagraphFont"/>
    <w:link w:val="Title"/>
    <w:uiPriority w:val="10"/>
    <w:rsid w:val="00A05ED7"/>
    <w:rPr>
      <w:rFonts w:ascii="Calibri" w:cstheme="majorBidi" w:eastAsiaTheme="majorEastAsia" w:hAnsi="Calibri"/>
      <w:spacing w:val="-10"/>
      <w:kern w:val="28"/>
      <w:sz w:val="56"/>
      <w:szCs w:val="56"/>
    </w:rPr>
  </w:style>
  <w:style w:styleId="Subtitle" w:type="paragraph">
    <w:name w:val="Subtitle"/>
    <w:basedOn w:val="Title"/>
    <w:next w:val="BodyText"/>
    <w:link w:val="SubtitleChar"/>
    <w:uiPriority w:val="11"/>
    <w:qFormat/>
    <w:rsid w:val="00A05ED7"/>
    <w:pPr>
      <w:numPr>
        <w:ilvl w:val="1"/>
      </w:numPr>
    </w:pPr>
    <w:rPr>
      <w:color w:themeColor="background2" w:themeShade="BF" w:val="ADADAD"/>
      <w:spacing w:val="15"/>
      <w:sz w:val="28"/>
      <w:szCs w:val="28"/>
    </w:rPr>
  </w:style>
  <w:style w:customStyle="1" w:styleId="SubtitleChar" w:type="character">
    <w:name w:val="Subtitle Char"/>
    <w:basedOn w:val="DefaultParagraphFont"/>
    <w:link w:val="Subtitle"/>
    <w:uiPriority w:val="11"/>
    <w:rsid w:val="00A05ED7"/>
    <w:rPr>
      <w:rFonts w:ascii="Calibri" w:cstheme="majorBidi" w:eastAsiaTheme="majorEastAsia" w:hAnsi="Calibri"/>
      <w:color w:themeColor="background2" w:themeShade="BF" w:val="ADADAD"/>
      <w:spacing w:val="15"/>
      <w:kern w:val="28"/>
      <w:sz w:val="28"/>
      <w:szCs w:val="28"/>
    </w:rPr>
  </w:style>
  <w:style w:customStyle="1" w:styleId="Author" w:type="paragraph">
    <w:name w:val="Author"/>
    <w:next w:val="BodyText"/>
    <w:qFormat/>
    <w:rsid w:val="00A05ED7"/>
    <w:pPr>
      <w:keepNext/>
      <w:keepLines/>
    </w:pPr>
    <w:rPr>
      <w:rFonts w:ascii="Calibri" w:hAnsi="Calibri"/>
    </w:rPr>
  </w:style>
  <w:style w:styleId="Date" w:type="paragraph">
    <w:name w:val="Date"/>
    <w:next w:val="BodyText"/>
    <w:qFormat/>
    <w:rsid w:val="00A05ED7"/>
    <w:pPr>
      <w:keepNext/>
      <w:keepLines/>
    </w:pPr>
    <w:rPr>
      <w:rFonts w:ascii="Calibri" w:hAnsi="Calibri"/>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basedOn w:val="TableNormal"/>
    <w:semiHidden/>
    <w:unhideWhenUsed/>
    <w:qFormat/>
    <w:rsid w:val="009D620D"/>
    <w:tblPr>
      <w:tblStyleRowBandSize w:val="1"/>
      <w:tblBorders>
        <w:top w:color="ADADAD" w:space="0" w:sz="4" w:themeColor="background2" w:themeShade="BF" w:val="single"/>
        <w:left w:color="ADADAD" w:space="0" w:sz="4" w:themeColor="background2" w:themeShade="BF" w:val="single"/>
        <w:bottom w:color="ADADAD" w:space="0" w:sz="4" w:themeColor="background2" w:themeShade="BF" w:val="single"/>
        <w:right w:color="ADADAD" w:space="0" w:sz="4" w:themeColor="background2" w:themeShade="BF" w:val="single"/>
        <w:insideH w:color="ADADAD" w:space="0" w:sz="4" w:themeColor="background2" w:themeShade="BF" w:val="single"/>
        <w:insideV w:color="ADADAD" w:space="0" w:sz="4" w:themeColor="background2" w:themeShade="BF" w:val="single"/>
      </w:tblBorders>
    </w:tblPr>
    <w:tcPr>
      <w:shd w:color="auto" w:fill="auto" w:val="clear"/>
    </w:tcPr>
    <w:tblStylePr w:type="firstRow">
      <w:pPr>
        <w:spacing w:after="0" w:before="0" w:line="240" w:lineRule="auto"/>
      </w:pPr>
      <w:rPr>
        <w:rFonts w:asciiTheme="majorHAnsi" w:cstheme="majorBidi" w:eastAsiaTheme="majorEastAsia" w:hAnsiTheme="majorHAnsi"/>
        <w:b/>
        <w:bCs/>
        <w:color w:themeColor="background1" w:val="FFFFFF"/>
      </w:rPr>
      <w:tblPr>
        <w:jc w:val="left"/>
      </w:tblPr>
      <w:trPr>
        <w:jc w:val="left"/>
      </w:trPr>
      <w:tcPr>
        <w:tcBorders>
          <w:top w:color="4EA72E" w:space="0" w:sz="4" w:themeColor="accent6" w:val="single"/>
          <w:left w:color="4EA72E" w:space="0" w:sz="4" w:themeColor="accent6" w:val="single"/>
          <w:bottom w:color="auto" w:space="0" w:sz="0" w:val="single"/>
          <w:right w:color="4EA72E" w:space="0" w:sz="4" w:themeColor="accent6" w:val="single"/>
          <w:insideH w:val="nil"/>
          <w:insideV w:color="A02B93" w:space="0" w:sz="8" w:themeColor="accent5" w:val="single"/>
        </w:tcBorders>
        <w:shd w:color="auto" w:fill="4EA72E" w:themeFill="accent6" w:val="clear"/>
        <w:vAlign w:val="bottom"/>
      </w:tcPr>
    </w:tblStylePr>
    <w:tblStylePr w:type="lastRow">
      <w:pPr>
        <w:spacing w:after="0" w:before="0" w:line="240" w:lineRule="auto"/>
      </w:pPr>
      <w:rPr>
        <w:rFonts w:asciiTheme="majorHAnsi" w:cstheme="majorBidi" w:eastAsiaTheme="majorEastAsia" w:hAnsiTheme="majorHAnsi"/>
        <w:b w:val="0"/>
        <w:bCs/>
      </w:rPr>
      <w:tblPr/>
      <w:tcPr>
        <w:tcBorders>
          <w:top w:val="nil"/>
          <w:left w:color="A02B93" w:space="0" w:sz="8" w:themeColor="accent5" w:val="single"/>
          <w:bottom w:color="A02B93" w:space="0" w:sz="8" w:themeColor="accent5" w:val="single"/>
          <w:right w:color="A02B93" w:space="0" w:sz="8" w:themeColor="accent5" w:val="single"/>
          <w:insideH w:val="nil"/>
          <w:insideV w:color="A02B93" w:space="0" w:sz="8" w:themeColor="accent5" w:val="single"/>
        </w:tcBorders>
      </w:tcPr>
    </w:tblStylePr>
    <w:tblStylePr w:type="firstCol">
      <w:rPr>
        <w:rFonts w:asciiTheme="majorHAnsi" w:cstheme="majorBidi" w:eastAsiaTheme="majorEastAsia" w:hAnsiTheme="majorHAnsi"/>
        <w:b w:val="0"/>
        <w:bCs/>
      </w:rPr>
    </w:tblStylePr>
    <w:tblStylePr w:type="lastCol">
      <w:rPr>
        <w:rFonts w:asciiTheme="majorHAnsi" w:cstheme="majorBidi" w:eastAsiaTheme="majorEastAsia" w:hAnsiTheme="majorHAnsi"/>
        <w:b w:val="0"/>
        <w:bCs/>
      </w:rPr>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shd w:color="auto" w:fill="EFC3E9" w:themeFill="accent5" w:themeFillTint="3F" w:val="clear"/>
      </w:tcPr>
    </w:tblStylePr>
    <w:tblStylePr w:type="band1Horz">
      <w:tblPr/>
      <w:tcPr>
        <w:shd w:color="auto" w:fill="F2F2F2" w:themeFill="background1" w:themeFillShade="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E209B4"/>
    <w:rPr>
      <w:color w:val="0070C0"/>
    </w:rPr>
  </w:style>
  <w:style w:styleId="TOCHeading" w:type="paragraph">
    <w:name w:val="TOC Heading"/>
    <w:basedOn w:val="Heading1"/>
    <w:next w:val="BodyText"/>
    <w:uiPriority w:val="39"/>
    <w:unhideWhenUsed/>
    <w:qFormat/>
    <w:pPr>
      <w:spacing w:before="240" w:line="259" w:lineRule="auto"/>
      <w:outlineLvl w:val="9"/>
    </w:pPr>
  </w:style>
  <w:style w:styleId="Header" w:type="paragraph">
    <w:name w:val="header"/>
    <w:basedOn w:val="Normal"/>
    <w:link w:val="HeaderChar"/>
    <w:rsid w:val="002A13D1"/>
    <w:pPr>
      <w:tabs>
        <w:tab w:pos="4513" w:val="center"/>
        <w:tab w:pos="9026" w:val="right"/>
      </w:tabs>
      <w:spacing w:after="0"/>
    </w:pPr>
  </w:style>
  <w:style w:customStyle="1" w:styleId="HeaderChar" w:type="character">
    <w:name w:val="Header Char"/>
    <w:basedOn w:val="DefaultParagraphFont"/>
    <w:link w:val="Header"/>
    <w:rsid w:val="002A13D1"/>
    <w:rPr>
      <w:rFonts w:ascii="Calibri" w:hAnsi="Calibri"/>
    </w:rPr>
  </w:style>
  <w:style w:styleId="Footer" w:type="paragraph">
    <w:name w:val="footer"/>
    <w:basedOn w:val="Normal"/>
    <w:link w:val="FooterChar"/>
    <w:rsid w:val="002A13D1"/>
    <w:pPr>
      <w:tabs>
        <w:tab w:pos="4513" w:val="center"/>
        <w:tab w:pos="9026" w:val="right"/>
      </w:tabs>
      <w:spacing w:after="0"/>
    </w:pPr>
  </w:style>
  <w:style w:customStyle="1" w:styleId="FooterChar" w:type="character">
    <w:name w:val="Footer Char"/>
    <w:basedOn w:val="DefaultParagraphFont"/>
    <w:link w:val="Footer"/>
    <w:rsid w:val="002A13D1"/>
    <w:rPr>
      <w:rFonts w:ascii="Calibri" w:hAnsi="Calibri"/>
    </w:rPr>
  </w:style>
  <w:style w:styleId="ListTable4-Accent6" w:type="table">
    <w:name w:val="List Table 4 Accent 6"/>
    <w:basedOn w:val="TableNormal"/>
    <w:uiPriority w:val="49"/>
    <w:rsid w:val="00E209B4"/>
    <w:pPr>
      <w:spacing w:after="0"/>
    </w:pPr>
    <w:tblPr>
      <w:tblStyleRowBandSize w:val="1"/>
      <w:tblStyleColBandSize w:val="1"/>
      <w:tblBorders>
        <w:top w:color="8DD873" w:space="0" w:sz="4" w:themeColor="accent6" w:themeTint="99" w:val="single"/>
        <w:left w:color="8DD873" w:space="0" w:sz="4" w:themeColor="accent6" w:themeTint="99" w:val="single"/>
        <w:bottom w:color="8DD873" w:space="0" w:sz="4" w:themeColor="accent6" w:themeTint="99" w:val="single"/>
        <w:right w:color="8DD873" w:space="0" w:sz="4" w:themeColor="accent6" w:themeTint="99" w:val="single"/>
        <w:insideH w:color="8DD873" w:space="0" w:sz="4" w:themeColor="accent6" w:themeTint="99" w:val="single"/>
      </w:tblBorders>
    </w:tblPr>
    <w:tblStylePr w:type="firstRow">
      <w:rPr>
        <w:b/>
        <w:bCs/>
        <w:color w:themeColor="background1" w:val="FFFFFF"/>
      </w:rPr>
      <w:tblPr/>
      <w:tcPr>
        <w:tcBorders>
          <w:top w:color="4EA72E" w:space="0" w:sz="4" w:themeColor="accent6" w:val="single"/>
          <w:left w:color="4EA72E" w:space="0" w:sz="4" w:themeColor="accent6" w:val="single"/>
          <w:bottom w:color="4EA72E" w:space="0" w:sz="4" w:themeColor="accent6" w:val="single"/>
          <w:right w:color="4EA72E" w:space="0" w:sz="4" w:themeColor="accent6" w:val="single"/>
          <w:insideH w:val="nil"/>
        </w:tcBorders>
        <w:shd w:color="auto" w:fill="4EA72E" w:themeFill="accent6" w:val="clear"/>
      </w:tcPr>
    </w:tblStylePr>
    <w:tblStylePr w:type="lastRow">
      <w:rPr>
        <w:b/>
        <w:bCs/>
      </w:rPr>
      <w:tblPr/>
      <w:tcPr>
        <w:tcBorders>
          <w:top w:color="8DD873" w:space="0" w:sz="4" w:themeColor="accent6" w:themeTint="99" w:val="double"/>
        </w:tcBorders>
      </w:tcPr>
    </w:tblStylePr>
    <w:tblStylePr w:type="firstCol">
      <w:rPr>
        <w:b/>
        <w:bCs/>
      </w:rPr>
    </w:tblStylePr>
    <w:tblStylePr w:type="lastCol">
      <w:rPr>
        <w:b/>
        <w:bCs/>
      </w:rPr>
    </w:tblStylePr>
    <w:tblStylePr w:type="band1Vert">
      <w:tblPr/>
      <w:tcPr>
        <w:shd w:color="auto" w:fill="D9F2D0" w:themeFill="accent6" w:themeFillTint="33" w:val="clear"/>
      </w:tcPr>
    </w:tblStylePr>
    <w:tblStylePr w:type="band1Horz">
      <w:tblPr/>
      <w:tcPr>
        <w:shd w:color="auto" w:fill="D9F2D0" w:themeFill="accent6" w:themeFillTint="33" w:val="clear"/>
      </w:tcPr>
    </w:tblStylePr>
  </w:style>
  <w:style w:styleId="LightGrid-Accent5" w:type="table">
    <w:name w:val="Light Grid Accent 5"/>
    <w:basedOn w:val="TableNormal"/>
    <w:semiHidden/>
    <w:unhideWhenUsed/>
    <w:rsid w:val="000B6852"/>
    <w:pPr>
      <w:spacing w:after="0"/>
    </w:pPr>
    <w:tblPr>
      <w:tblStyleRowBandSize w:val="1"/>
      <w:tblStyleColBandSize w:val="1"/>
      <w:tblBorders>
        <w:top w:color="A02B93" w:space="0" w:sz="8" w:themeColor="accent5" w:val="single"/>
        <w:left w:color="A02B93" w:space="0" w:sz="8" w:themeColor="accent5" w:val="single"/>
        <w:bottom w:color="A02B93" w:space="0" w:sz="8" w:themeColor="accent5" w:val="single"/>
        <w:right w:color="A02B93" w:space="0" w:sz="8" w:themeColor="accent5" w:val="single"/>
        <w:insideH w:color="A02B93" w:space="0" w:sz="8" w:themeColor="accent5" w:val="single"/>
        <w:insideV w:color="A02B93"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A02B93" w:space="0" w:sz="8" w:themeColor="accent5" w:val="single"/>
          <w:left w:color="A02B93" w:space="0" w:sz="8" w:themeColor="accent5" w:val="single"/>
          <w:bottom w:color="A02B93" w:space="0" w:sz="18" w:themeColor="accent5" w:val="single"/>
          <w:right w:color="A02B93" w:space="0" w:sz="8" w:themeColor="accent5" w:val="single"/>
          <w:insideH w:val="nil"/>
          <w:insideV w:color="A02B93"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A02B93" w:space="0" w:sz="6" w:themeColor="accent5" w:val="double"/>
          <w:left w:color="A02B93" w:space="0" w:sz="8" w:themeColor="accent5" w:val="single"/>
          <w:bottom w:color="A02B93" w:space="0" w:sz="8" w:themeColor="accent5" w:val="single"/>
          <w:right w:color="A02B93" w:space="0" w:sz="8" w:themeColor="accent5" w:val="single"/>
          <w:insideH w:val="nil"/>
          <w:insideV w:color="A02B93"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tcPr>
    </w:tblStylePr>
    <w:tblStylePr w:type="band1Vert">
      <w:tblPr/>
      <w:tcPr>
        <w:tcBorders>
          <w:top w:color="A02B93" w:space="0" w:sz="8" w:themeColor="accent5" w:val="single"/>
          <w:left w:color="A02B93" w:space="0" w:sz="8" w:themeColor="accent5" w:val="single"/>
          <w:bottom w:color="A02B93" w:space="0" w:sz="8" w:themeColor="accent5" w:val="single"/>
          <w:right w:color="A02B93" w:space="0" w:sz="8" w:themeColor="accent5" w:val="single"/>
        </w:tcBorders>
        <w:shd w:color="auto" w:fill="EFC3E9" w:themeFill="accent5" w:themeFillTint="3F" w:val="clear"/>
      </w:tcPr>
    </w:tblStylePr>
    <w:tblStylePr w:type="band1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shd w:color="auto" w:fill="EFC3E9" w:themeFill="accent5" w:themeFillTint="3F" w:val="clear"/>
      </w:tcPr>
    </w:tblStylePr>
    <w:tblStylePr w:type="band2Horz">
      <w:tblPr/>
      <w:tcPr>
        <w:tcBorders>
          <w:top w:color="A02B93" w:space="0" w:sz="8" w:themeColor="accent5" w:val="single"/>
          <w:left w:color="A02B93" w:space="0" w:sz="8" w:themeColor="accent5" w:val="single"/>
          <w:bottom w:color="A02B93" w:space="0" w:sz="8" w:themeColor="accent5" w:val="single"/>
          <w:right w:color="A02B93" w:space="0" w:sz="8" w:themeColor="accent5" w:val="single"/>
          <w:insideV w:color="A02B93" w:space="0" w:sz="8" w:themeColor="accent5" w:val="single"/>
        </w:tcBorders>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hyperlink" Id="rId56" Target="https://https:/resources.equator-network.org/reporting-guidelines/stard/stard-checklist.docx" TargetMode="External" /><Relationship Type="http://schemas.openxmlformats.org/officeDocument/2006/relationships/hyperlink" Id="rId54" Target="https://www.bmj.com/content/351/bmj.h5527" TargetMode="External" /><Relationship Type="http://schemas.openxmlformats.org/officeDocument/2006/relationships/hyperlink" Id="rId21" Target="https:/resources.equator-network.org/about/reporting-guidelines.html" TargetMode="External" /><Relationship Type="http://schemas.openxmlformats.org/officeDocument/2006/relationships/hyperlink" Id="rId20" Target="https:/resources.equator-network.org/reporting-guidelines/stard/index.html" TargetMode="External" /><Relationship Type="http://schemas.openxmlformats.org/officeDocument/2006/relationships/hyperlink" Id="rId22" Target="https:/resources.equator-network.org/reporting-guidelines/stard/index.html?#applicability" TargetMode="External" /><Relationship Type="http://schemas.openxmlformats.org/officeDocument/2006/relationships/hyperlink" Id="rId24" Target="https:/resources.equator-network.org/reporting-guidelines/stard/items/abstract.html?utm_source=stard&amp;utm_medium=checklist&amp;utm_campaign=STARD_2015_v1_1" TargetMode="External" /><Relationship Type="http://schemas.openxmlformats.org/officeDocument/2006/relationships/hyperlink" Id="rId47" Target="https:/resources.equator-network.org/reporting-guidelines/stard/items/adverse-events.html?utm_source=stard&amp;utm_medium=checklist&amp;utm_campaign=STARD_2015_v1_1" TargetMode="External" /><Relationship Type="http://schemas.openxmlformats.org/officeDocument/2006/relationships/hyperlink" Id="rId36" Target="https:/resources.equator-network.org/reporting-guidelines/stard/items/analysis-methods.html?utm_source=stard&amp;utm_medium=checklist&amp;utm_campaign=STARD_2015_v1_1" TargetMode="External" /><Relationship Type="http://schemas.openxmlformats.org/officeDocument/2006/relationships/hyperlink" Id="rId25" Target="https:/resources.equator-network.org/reporting-guidelines/stard/items/background.html?utm_source=stard&amp;utm_medium=checklist&amp;utm_campaign=STARD_2015_v1_1" TargetMode="External" /><Relationship Type="http://schemas.openxmlformats.org/officeDocument/2006/relationships/hyperlink" Id="rId42" Target="https:/resources.equator-network.org/reporting-guidelines/stard/items/baseline-characteristics.html?utm_source=stard&amp;utm_medium=checklist&amp;utm_campaign=STARD_2015_v1_1" TargetMode="External" /><Relationship Type="http://schemas.openxmlformats.org/officeDocument/2006/relationships/hyperlink" Id="rId31" Target="https:/resources.equator-network.org/reporting-guidelines/stard/items/consecutive-random-convenience-series.html?utm_source=stard&amp;utm_medium=checklist&amp;utm_campaign=STARD_2015_v1_1" TargetMode="External" /><Relationship Type="http://schemas.openxmlformats.org/officeDocument/2006/relationships/hyperlink" Id="rId28" Target="https:/resources.equator-network.org/reporting-guidelines/stard/items/eligibility-criteria.html?utm_source=stard&amp;utm_medium=checklist&amp;utm_campaign=STARD_2015_v1_1" TargetMode="External" /><Relationship Type="http://schemas.openxmlformats.org/officeDocument/2006/relationships/hyperlink" Id="rId46" Target="https:/resources.equator-network.org/reporting-guidelines/stard/items/estimates-of-accuracy.html?utm_source=stard&amp;utm_medium=checklist&amp;utm_campaign=STARD_2015_v1_1" TargetMode="External" /><Relationship Type="http://schemas.openxmlformats.org/officeDocument/2006/relationships/hyperlink" Id="rId41" Target="https:/resources.equator-network.org/reporting-guidelines/stard/items/flow-diagram.html?utm_source=stard&amp;utm_medium=checklist&amp;utm_campaign=STARD_2015_v1_1" TargetMode="External" /><Relationship Type="http://schemas.openxmlformats.org/officeDocument/2006/relationships/hyperlink" Id="rId52" Target="https:/resources.equator-network.org/reporting-guidelines/stard/items/funding.html?utm_source=stard&amp;utm_medium=checklist&amp;utm_campaign=STARD_2015_v1_1" TargetMode="External" /><Relationship Type="http://schemas.openxmlformats.org/officeDocument/2006/relationships/hyperlink" Id="rId23" Target="https:/resources.equator-network.org/reporting-guidelines/stard/items/identification.html?utm_source=stard&amp;utm_medium=checklist&amp;utm_campaign=STARD_2015_v1_1" TargetMode="External" /><Relationship Type="http://schemas.openxmlformats.org/officeDocument/2006/relationships/hyperlink" Id="rId29" Target="https:/resources.equator-network.org/reporting-guidelines/stard/items/identifying-eligible-participants.html?utm_source=stard&amp;utm_medium=checklist&amp;utm_campaign=STARD_2015_v1_1" TargetMode="External" /><Relationship Type="http://schemas.openxmlformats.org/officeDocument/2006/relationships/hyperlink" Id="rId49" Target="https:/resources.equator-network.org/reporting-guidelines/stard/items/implications-for-practice.html?utm_source=stard&amp;utm_medium=checklist&amp;utm_campaign=STARD_2015_v1_1" TargetMode="External" /><Relationship Type="http://schemas.openxmlformats.org/officeDocument/2006/relationships/hyperlink" Id="rId37" Target="https:/resources.equator-network.org/reporting-guidelines/stard/items/indeterminate-results.html?utm_source=stard&amp;utm_medium=checklist&amp;utm_campaign=STARD_2015_v1_1" TargetMode="External" /><Relationship Type="http://schemas.openxmlformats.org/officeDocument/2006/relationships/hyperlink" Id="rId45" Target="https:/resources.equator-network.org/reporting-guidelines/stard/items/index-reference-results.html?utm_source=stard&amp;utm_medium=checklist&amp;utm_campaign=STARD_2015_v1_1" TargetMode="External" /><Relationship Type="http://schemas.openxmlformats.org/officeDocument/2006/relationships/hyperlink" Id="rId34" Target="https:/resources.equator-network.org/reporting-guidelines/stard/items/index-test-cut-offs-categories.html?utm_source=stard&amp;utm_medium=checklist&amp;utm_campaign=STARD_2015_v1_1" TargetMode="External" /><Relationship Type="http://schemas.openxmlformats.org/officeDocument/2006/relationships/hyperlink" Id="rId32" Target="https:/resources.equator-network.org/reporting-guidelines/stard/items/index-test.html?utm_source=stard&amp;utm_medium=checklist&amp;utm_campaign=STARD_2015_v1_1" TargetMode="External" /><Relationship Type="http://schemas.openxmlformats.org/officeDocument/2006/relationships/hyperlink" Id="rId35" Target="https:/resources.equator-network.org/reporting-guidelines/stard/items/information-available-index.html?utm_source=stard&amp;utm_medium=checklist&amp;utm_campaign=STARD_2015_v1_1" TargetMode="External" /><Relationship Type="http://schemas.openxmlformats.org/officeDocument/2006/relationships/hyperlink" Id="rId40" Target="https:/resources.equator-network.org/reporting-guidelines/stard/items/intended-sample-size.html?utm_source=stard&amp;utm_medium=checklist&amp;utm_campaign=STARD_2015_v1_1" TargetMode="External" /><Relationship Type="http://schemas.openxmlformats.org/officeDocument/2006/relationships/hyperlink" Id="rId48" Target="https:/resources.equator-network.org/reporting-guidelines/stard/items/limitations.html?utm_source=stard&amp;utm_medium=checklist&amp;utm_campaign=STARD_2015_v1_1" TargetMode="External" /><Relationship Type="http://schemas.openxmlformats.org/officeDocument/2006/relationships/hyperlink" Id="rId38" Target="https:/resources.equator-network.org/reporting-guidelines/stard/items/missing-data.html?utm_source=stard&amp;utm_medium=checklist&amp;utm_campaign=STARD_2015_v1_1" TargetMode="External" /><Relationship Type="http://schemas.openxmlformats.org/officeDocument/2006/relationships/hyperlink" Id="rId26" Target="https:/resources.equator-network.org/reporting-guidelines/stard/items/objectives.html?utm_source=stard&amp;utm_medium=checklist&amp;utm_campaign=STARD_2015_v1_1" TargetMode="External" /><Relationship Type="http://schemas.openxmlformats.org/officeDocument/2006/relationships/hyperlink" Id="rId43" Target="https:/resources.equator-network.org/reporting-guidelines/stard/items/participants-with-target-condition.html?utm_source=stard&amp;utm_medium=checklist&amp;utm_campaign=STARD_2015_v1_1" TargetMode="External" /><Relationship Type="http://schemas.openxmlformats.org/officeDocument/2006/relationships/hyperlink" Id="rId51" Target="https:/resources.equator-network.org/reporting-guidelines/stard/items/protocol.html?utm_source=stard&amp;utm_medium=checklist&amp;utm_campaign=STARD_2015_v1_1" TargetMode="External" /><Relationship Type="http://schemas.openxmlformats.org/officeDocument/2006/relationships/hyperlink" Id="rId33" Target="https:/resources.equator-network.org/reporting-guidelines/stard/items/reference-standard-rationale.html?utm_source=stard&amp;utm_medium=checklist&amp;utm_campaign=STARD_2015_v1_1" TargetMode="External" /><Relationship Type="http://schemas.openxmlformats.org/officeDocument/2006/relationships/hyperlink" Id="rId50" Target="https:/resources.equator-network.org/reporting-guidelines/stard/items/registration.html?utm_source=stard&amp;utm_medium=checklist&amp;utm_campaign=STARD_2015_v1_1" TargetMode="External" /><Relationship Type="http://schemas.openxmlformats.org/officeDocument/2006/relationships/hyperlink" Id="rId30" Target="https:/resources.equator-network.org/reporting-guidelines/stard/items/setting-location-dates.html?utm_source=stard&amp;utm_medium=checklist&amp;utm_campaign=STARD_2015_v1_1" TargetMode="External" /><Relationship Type="http://schemas.openxmlformats.org/officeDocument/2006/relationships/hyperlink" Id="rId27" Target="https:/resources.equator-network.org/reporting-guidelines/stard/items/study-design.html?utm_source=stard&amp;utm_medium=checklist&amp;utm_campaign=STARD_2015_v1_1" TargetMode="External" /><Relationship Type="http://schemas.openxmlformats.org/officeDocument/2006/relationships/hyperlink" Id="rId44" Target="https:/resources.equator-network.org/reporting-guidelines/stard/items/time-interval.html?utm_source=stard&amp;utm_medium=checklist&amp;utm_campaign=STARD_2015_v1_1" TargetMode="External" /><Relationship Type="http://schemas.openxmlformats.org/officeDocument/2006/relationships/hyperlink" Id="rId39" Target="https:/resources.equator-network.org/reporting-guidelines/stard/items/variability.html?utm_source=stard&amp;utm_medium=checklist&amp;utm_campaign=STARD_2015_v1_1" TargetMode="External" /></Relationships>
</file>

<file path=word/_rels/footnotes.xml.rels><?xml version="1.0" encoding="UTF-8"?><Relationships xmlns="http://schemas.openxmlformats.org/package/2006/relationships"><Relationship Type="http://schemas.openxmlformats.org/officeDocument/2006/relationships/hyperlink" Id="rId56" Target="https://https:/resources.equator-network.org/reporting-guidelines/stard/stard-checklist.docx" TargetMode="External" /><Relationship Type="http://schemas.openxmlformats.org/officeDocument/2006/relationships/hyperlink" Id="rId54" Target="https://www.bmj.com/content/351/bmj.h5527" TargetMode="External" /><Relationship Type="http://schemas.openxmlformats.org/officeDocument/2006/relationships/hyperlink" Id="rId21" Target="https:/resources.equator-network.org/about/reporting-guidelines.html" TargetMode="External" /><Relationship Type="http://schemas.openxmlformats.org/officeDocument/2006/relationships/hyperlink" Id="rId20" Target="https:/resources.equator-network.org/reporting-guidelines/stard/index.html" TargetMode="External" /><Relationship Type="http://schemas.openxmlformats.org/officeDocument/2006/relationships/hyperlink" Id="rId22" Target="https:/resources.equator-network.org/reporting-guidelines/stard/index.html?#applicability" TargetMode="External" /><Relationship Type="http://schemas.openxmlformats.org/officeDocument/2006/relationships/hyperlink" Id="rId24" Target="https:/resources.equator-network.org/reporting-guidelines/stard/items/abstract.html?utm_source=stard&amp;utm_medium=checklist&amp;utm_campaign=STARD_2015_v1_1" TargetMode="External" /><Relationship Type="http://schemas.openxmlformats.org/officeDocument/2006/relationships/hyperlink" Id="rId47" Target="https:/resources.equator-network.org/reporting-guidelines/stard/items/adverse-events.html?utm_source=stard&amp;utm_medium=checklist&amp;utm_campaign=STARD_2015_v1_1" TargetMode="External" /><Relationship Type="http://schemas.openxmlformats.org/officeDocument/2006/relationships/hyperlink" Id="rId36" Target="https:/resources.equator-network.org/reporting-guidelines/stard/items/analysis-methods.html?utm_source=stard&amp;utm_medium=checklist&amp;utm_campaign=STARD_2015_v1_1" TargetMode="External" /><Relationship Type="http://schemas.openxmlformats.org/officeDocument/2006/relationships/hyperlink" Id="rId25" Target="https:/resources.equator-network.org/reporting-guidelines/stard/items/background.html?utm_source=stard&amp;utm_medium=checklist&amp;utm_campaign=STARD_2015_v1_1" TargetMode="External" /><Relationship Type="http://schemas.openxmlformats.org/officeDocument/2006/relationships/hyperlink" Id="rId42" Target="https:/resources.equator-network.org/reporting-guidelines/stard/items/baseline-characteristics.html?utm_source=stard&amp;utm_medium=checklist&amp;utm_campaign=STARD_2015_v1_1" TargetMode="External" /><Relationship Type="http://schemas.openxmlformats.org/officeDocument/2006/relationships/hyperlink" Id="rId31" Target="https:/resources.equator-network.org/reporting-guidelines/stard/items/consecutive-random-convenience-series.html?utm_source=stard&amp;utm_medium=checklist&amp;utm_campaign=STARD_2015_v1_1" TargetMode="External" /><Relationship Type="http://schemas.openxmlformats.org/officeDocument/2006/relationships/hyperlink" Id="rId28" Target="https:/resources.equator-network.org/reporting-guidelines/stard/items/eligibility-criteria.html?utm_source=stard&amp;utm_medium=checklist&amp;utm_campaign=STARD_2015_v1_1" TargetMode="External" /><Relationship Type="http://schemas.openxmlformats.org/officeDocument/2006/relationships/hyperlink" Id="rId46" Target="https:/resources.equator-network.org/reporting-guidelines/stard/items/estimates-of-accuracy.html?utm_source=stard&amp;utm_medium=checklist&amp;utm_campaign=STARD_2015_v1_1" TargetMode="External" /><Relationship Type="http://schemas.openxmlformats.org/officeDocument/2006/relationships/hyperlink" Id="rId41" Target="https:/resources.equator-network.org/reporting-guidelines/stard/items/flow-diagram.html?utm_source=stard&amp;utm_medium=checklist&amp;utm_campaign=STARD_2015_v1_1" TargetMode="External" /><Relationship Type="http://schemas.openxmlformats.org/officeDocument/2006/relationships/hyperlink" Id="rId52" Target="https:/resources.equator-network.org/reporting-guidelines/stard/items/funding.html?utm_source=stard&amp;utm_medium=checklist&amp;utm_campaign=STARD_2015_v1_1" TargetMode="External" /><Relationship Type="http://schemas.openxmlformats.org/officeDocument/2006/relationships/hyperlink" Id="rId23" Target="https:/resources.equator-network.org/reporting-guidelines/stard/items/identification.html?utm_source=stard&amp;utm_medium=checklist&amp;utm_campaign=STARD_2015_v1_1" TargetMode="External" /><Relationship Type="http://schemas.openxmlformats.org/officeDocument/2006/relationships/hyperlink" Id="rId29" Target="https:/resources.equator-network.org/reporting-guidelines/stard/items/identifying-eligible-participants.html?utm_source=stard&amp;utm_medium=checklist&amp;utm_campaign=STARD_2015_v1_1" TargetMode="External" /><Relationship Type="http://schemas.openxmlformats.org/officeDocument/2006/relationships/hyperlink" Id="rId49" Target="https:/resources.equator-network.org/reporting-guidelines/stard/items/implications-for-practice.html?utm_source=stard&amp;utm_medium=checklist&amp;utm_campaign=STARD_2015_v1_1" TargetMode="External" /><Relationship Type="http://schemas.openxmlformats.org/officeDocument/2006/relationships/hyperlink" Id="rId37" Target="https:/resources.equator-network.org/reporting-guidelines/stard/items/indeterminate-results.html?utm_source=stard&amp;utm_medium=checklist&amp;utm_campaign=STARD_2015_v1_1" TargetMode="External" /><Relationship Type="http://schemas.openxmlformats.org/officeDocument/2006/relationships/hyperlink" Id="rId45" Target="https:/resources.equator-network.org/reporting-guidelines/stard/items/index-reference-results.html?utm_source=stard&amp;utm_medium=checklist&amp;utm_campaign=STARD_2015_v1_1" TargetMode="External" /><Relationship Type="http://schemas.openxmlformats.org/officeDocument/2006/relationships/hyperlink" Id="rId34" Target="https:/resources.equator-network.org/reporting-guidelines/stard/items/index-test-cut-offs-categories.html?utm_source=stard&amp;utm_medium=checklist&amp;utm_campaign=STARD_2015_v1_1" TargetMode="External" /><Relationship Type="http://schemas.openxmlformats.org/officeDocument/2006/relationships/hyperlink" Id="rId32" Target="https:/resources.equator-network.org/reporting-guidelines/stard/items/index-test.html?utm_source=stard&amp;utm_medium=checklist&amp;utm_campaign=STARD_2015_v1_1" TargetMode="External" /><Relationship Type="http://schemas.openxmlformats.org/officeDocument/2006/relationships/hyperlink" Id="rId35" Target="https:/resources.equator-network.org/reporting-guidelines/stard/items/information-available-index.html?utm_source=stard&amp;utm_medium=checklist&amp;utm_campaign=STARD_2015_v1_1" TargetMode="External" /><Relationship Type="http://schemas.openxmlformats.org/officeDocument/2006/relationships/hyperlink" Id="rId40" Target="https:/resources.equator-network.org/reporting-guidelines/stard/items/intended-sample-size.html?utm_source=stard&amp;utm_medium=checklist&amp;utm_campaign=STARD_2015_v1_1" TargetMode="External" /><Relationship Type="http://schemas.openxmlformats.org/officeDocument/2006/relationships/hyperlink" Id="rId48" Target="https:/resources.equator-network.org/reporting-guidelines/stard/items/limitations.html?utm_source=stard&amp;utm_medium=checklist&amp;utm_campaign=STARD_2015_v1_1" TargetMode="External" /><Relationship Type="http://schemas.openxmlformats.org/officeDocument/2006/relationships/hyperlink" Id="rId38" Target="https:/resources.equator-network.org/reporting-guidelines/stard/items/missing-data.html?utm_source=stard&amp;utm_medium=checklist&amp;utm_campaign=STARD_2015_v1_1" TargetMode="External" /><Relationship Type="http://schemas.openxmlformats.org/officeDocument/2006/relationships/hyperlink" Id="rId26" Target="https:/resources.equator-network.org/reporting-guidelines/stard/items/objectives.html?utm_source=stard&amp;utm_medium=checklist&amp;utm_campaign=STARD_2015_v1_1" TargetMode="External" /><Relationship Type="http://schemas.openxmlformats.org/officeDocument/2006/relationships/hyperlink" Id="rId43" Target="https:/resources.equator-network.org/reporting-guidelines/stard/items/participants-with-target-condition.html?utm_source=stard&amp;utm_medium=checklist&amp;utm_campaign=STARD_2015_v1_1" TargetMode="External" /><Relationship Type="http://schemas.openxmlformats.org/officeDocument/2006/relationships/hyperlink" Id="rId51" Target="https:/resources.equator-network.org/reporting-guidelines/stard/items/protocol.html?utm_source=stard&amp;utm_medium=checklist&amp;utm_campaign=STARD_2015_v1_1" TargetMode="External" /><Relationship Type="http://schemas.openxmlformats.org/officeDocument/2006/relationships/hyperlink" Id="rId33" Target="https:/resources.equator-network.org/reporting-guidelines/stard/items/reference-standard-rationale.html?utm_source=stard&amp;utm_medium=checklist&amp;utm_campaign=STARD_2015_v1_1" TargetMode="External" /><Relationship Type="http://schemas.openxmlformats.org/officeDocument/2006/relationships/hyperlink" Id="rId50" Target="https:/resources.equator-network.org/reporting-guidelines/stard/items/registration.html?utm_source=stard&amp;utm_medium=checklist&amp;utm_campaign=STARD_2015_v1_1" TargetMode="External" /><Relationship Type="http://schemas.openxmlformats.org/officeDocument/2006/relationships/hyperlink" Id="rId30" Target="https:/resources.equator-network.org/reporting-guidelines/stard/items/setting-location-dates.html?utm_source=stard&amp;utm_medium=checklist&amp;utm_campaign=STARD_2015_v1_1" TargetMode="External" /><Relationship Type="http://schemas.openxmlformats.org/officeDocument/2006/relationships/hyperlink" Id="rId27" Target="https:/resources.equator-network.org/reporting-guidelines/stard/items/study-design.html?utm_source=stard&amp;utm_medium=checklist&amp;utm_campaign=STARD_2015_v1_1" TargetMode="External" /><Relationship Type="http://schemas.openxmlformats.org/officeDocument/2006/relationships/hyperlink" Id="rId44" Target="https:/resources.equator-network.org/reporting-guidelines/stard/items/time-interval.html?utm_source=stard&amp;utm_medium=checklist&amp;utm_campaign=STARD_2015_v1_1" TargetMode="External" /><Relationship Type="http://schemas.openxmlformats.org/officeDocument/2006/relationships/hyperlink" Id="rId39" Target="https:/resources.equator-network.org/reporting-guidelines/stard/items/variability.html?utm_source=stard&amp;utm_medium=checklist&amp;utm_campaign=STARD_2015_v1_1"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64</Words>
  <Characters>368</Characters>
  <Application>Microsoft Office Word</Application>
  <DocSecurity>0</DocSecurity>
  <Lines>3</Lines>
  <Paragraphs>1</Paragraphs>
  <ScaleCrop>false</ScaleCrop>
  <Company/>
  <LinksUpToDate>false</LinksUpToDate>
  <CharactersWithSpaces>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STARD reporting checklist</dc:title>
  <dc:creator/>
  <dc:description>STARD: Standards for Reporting Diagnostic Accuracy</dc:description>
  <cp:keywords/>
  <dcterms:created xsi:type="dcterms:W3CDTF">2026-03-31T19:55:32Z</dcterms:created>
  <dcterms:modified xsi:type="dcterms:W3CDTF">2026-03-31T19:55:32Z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cronym">
    <vt:lpwstr>STARD</vt:lpwstr>
  </property>
  <property fmtid="{D5CDD505-2E9C-101B-9397-08002B2CF9AE}" pid="4" name="acronym-definition">
    <vt:lpwstr>Standards for Reporting Diagnostic Accuracy</vt:lpwstr>
  </property>
  <property fmtid="{D5CDD505-2E9C-101B-9397-08002B2CF9AE}" pid="5" name="appendix-cite-as">
    <vt:lpwstr>display</vt:lpwstr>
  </property>
  <property fmtid="{D5CDD505-2E9C-101B-9397-08002B2CF9AE}" pid="6" name="appendix-style">
    <vt:lpwstr>default</vt:lpwstr>
  </property>
  <property fmtid="{D5CDD505-2E9C-101B-9397-08002B2CF9AE}" pid="7" name="articles">
    <vt:lpwstr/>
  </property>
  <property fmtid="{D5CDD505-2E9C-101B-9397-08002B2CF9AE}" pid="8" name="author_list">
    <vt:lpwstr>Patrick M. Bossuyt, Johannes B. Reitsma, David E. Bruns, Constantine A. Gatsonis, Paul P. Glasziou, Les Irwig, Jeroen G. Lijmer, David Moher, Drummond Rennie, Henrica C. W. Vet, Herbert Y. Kressel, Nader Rifai, Robert M. Golub, Douglas G. Altman, Lotty Hooft, Daniël A. Korevaar, Jérémie F. Cohen</vt:lpwstr>
  </property>
  <property fmtid="{D5CDD505-2E9C-101B-9397-08002B2CF9AE}" pid="9" name="biblio-config">
    <vt:lpwstr>True</vt:lpwstr>
  </property>
  <property fmtid="{D5CDD505-2E9C-101B-9397-08002B2CF9AE}" pid="10" name="bibliography">
    <vt:lpwstr>bibliographies/self.bib</vt:lpwstr>
  </property>
  <property fmtid="{D5CDD505-2E9C-101B-9397-08002B2CF9AE}" pid="11" name="citation">
    <vt:lpwstr/>
  </property>
  <property fmtid="{D5CDD505-2E9C-101B-9397-08002B2CF9AE}" pid="12" name="citation-year-string">
    <vt:lpwstr>2015</vt:lpwstr>
  </property>
  <property fmtid="{D5CDD505-2E9C-101B-9397-08002B2CF9AE}" pid="13" name="crossref">
    <vt:lpwstr/>
  </property>
  <property fmtid="{D5CDD505-2E9C-101B-9397-08002B2CF9AE}" pid="14" name="csl">
    <vt:lpwstr>../../vancouver.csl</vt:lpwstr>
  </property>
  <property fmtid="{D5CDD505-2E9C-101B-9397-08002B2CF9AE}" pid="15" name="doi-bool">
    <vt:lpwstr>True</vt:lpwstr>
  </property>
  <property fmtid="{D5CDD505-2E9C-101B-9397-08002B2CF9AE}" pid="16" name="execute">
    <vt:lpwstr/>
  </property>
  <property fmtid="{D5CDD505-2E9C-101B-9397-08002B2CF9AE}" pid="17" name="footer">
    <vt:lpwstr>none</vt:lpwstr>
  </property>
  <property fmtid="{D5CDD505-2E9C-101B-9397-08002B2CF9AE}" pid="18" name="for-writing">
    <vt:lpwstr>diagnostic accuracy study articles</vt:lpwstr>
  </property>
  <property fmtid="{D5CDD505-2E9C-101B-9397-08002B2CF9AE}" pid="19" name="google-scholar">
    <vt:lpwstr>True</vt:lpwstr>
  </property>
  <property fmtid="{D5CDD505-2E9C-101B-9397-08002B2CF9AE}" pid="20" name="header-includes">
    <vt:lpwstr/>
  </property>
  <property fmtid="{D5CDD505-2E9C-101B-9397-08002B2CF9AE}" pid="21" name="id">
    <vt:lpwstr>stard</vt:lpwstr>
  </property>
  <property fmtid="{D5CDD505-2E9C-101B-9397-08002B2CF9AE}" pid="22" name="include-after">
    <vt:lpwstr/>
  </property>
  <property fmtid="{D5CDD505-2E9C-101B-9397-08002B2CF9AE}" pid="23" name="include-before">
    <vt:lpwstr/>
  </property>
  <property fmtid="{D5CDD505-2E9C-101B-9397-08002B2CF9AE}" pid="24" name="items">
    <vt:lpwstr/>
  </property>
  <property fmtid="{D5CDD505-2E9C-101B-9397-08002B2CF9AE}" pid="25" name="journal-endorsement-count">
    <vt:lpwstr>300+</vt:lpwstr>
  </property>
  <property fmtid="{D5CDD505-2E9C-101B-9397-08002B2CF9AE}" pid="26" name="journal-endorsement-count-bool">
    <vt:lpwstr>True</vt:lpwstr>
  </property>
  <property fmtid="{D5CDD505-2E9C-101B-9397-08002B2CF9AE}" pid="27" name="labels">
    <vt:lpwstr/>
  </property>
  <property fmtid="{D5CDD505-2E9C-101B-9397-08002B2CF9AE}" pid="28" name="license">
    <vt:lpwstr/>
  </property>
  <property fmtid="{D5CDD505-2E9C-101B-9397-08002B2CF9AE}" pid="29" name="paths">
    <vt:lpwstr/>
  </property>
  <property fmtid="{D5CDD505-2E9C-101B-9397-08002B2CF9AE}" pid="30" name="search">
    <vt:lpwstr>False</vt:lpwstr>
  </property>
  <property fmtid="{D5CDD505-2E9C-101B-9397-08002B2CF9AE}" pid="31" name="smooth-scroll">
    <vt:lpwstr>True</vt:lpwstr>
  </property>
  <property fmtid="{D5CDD505-2E9C-101B-9397-08002B2CF9AE}" pid="32" name="subtitle">
    <vt:lpwstr>For checking that diagnostic accuracy study articles can be understood and used by everyone</vt:lpwstr>
  </property>
  <property fmtid="{D5CDD505-2E9C-101B-9397-08002B2CF9AE}" pid="33" name="toc-title">
    <vt:lpwstr>Table of contents</vt:lpwstr>
  </property>
  <property fmtid="{D5CDD505-2E9C-101B-9397-08002B2CF9AE}" pid="34" name="translations">
    <vt:lpwstr/>
  </property>
  <property fmtid="{D5CDD505-2E9C-101B-9397-08002B2CF9AE}" pid="35" name="translations-bool">
    <vt:lpwstr>False</vt:lpwstr>
  </property>
  <property fmtid="{D5CDD505-2E9C-101B-9397-08002B2CF9AE}" pid="36" name="utm_campaign">
    <vt:lpwstr>STARD_2015_v1.1</vt:lpwstr>
  </property>
  <property fmtid="{D5CDD505-2E9C-101B-9397-08002B2CF9AE}" pid="37" name="version">
    <vt:lpwstr>STARD 2015 v1.1</vt:lpwstr>
  </property>
</Properties>
</file>