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53">
        <w:r>
          <w:rPr>
            <w:rStyle w:val="Hyperlink"/>
          </w:rPr>
          <w:t xml:space="preserve">https://casereports.bmj.com/content/2013/bcr-2013-201554</w:t>
        </w:r>
      </w:hyperlink>
    </w:p>
    <w:bookmarkEnd w:id="54"/>
    <w:bookmarkStart w:id="56"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55">
        <w:r>
          <w:rPr>
            <w:rStyle w:val="Hyperlink"/>
          </w:rPr>
          <w:t xml:space="preserve">https:/jamesrharwood.github.io/equator-guidelines-website/guidelines/care/care-checklist.docx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3" Target="https://casereports.bmj.com/content/2013/bcr-2013-201554" TargetMode="External"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3" Target="https://casereports.bmj.com/content/2013/bcr-2013-201554" TargetMode="External"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2025-04-11T22:00:07Z</dcterms:created>
  <dcterms:modified xsi:type="dcterms:W3CDTF">2025-04-11T22:00:07Z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clinical case report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