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checklist</w:t>
      </w:r>
    </w:p>
    <w:p>
      <w:pPr>
        <w:pStyle w:val="Subtitle"/>
      </w:pPr>
      <w:r>
        <w:t xml:space="preserve">For checking that diagnostic accuracy study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STARD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or abstract</w:t>
            </w:r>
          </w:p>
        </w:tc>
        <w:tc>
          <w:tcPr/>
          <w:p>
            <w:pPr>
              <w:pStyle w:val="Compact"/>
            </w:pPr>
          </w:p>
        </w:tc>
        <w:tc>
          <w:tcPr/>
          <w:p>
            <w:pPr>
              <w:pStyle w:val="Compact"/>
            </w:pPr>
          </w:p>
        </w:tc>
      </w:tr>
      <w:tr>
        <w:tc>
          <w:tcPr/>
          <w:p>
            <w:pPr>
              <w:pStyle w:val="Compact"/>
            </w:pPr>
            <w:hyperlink r:id="rId26">
              <w:r>
                <w:rPr>
                  <w:rStyle w:val="Hyperlink"/>
                </w:rPr>
                <w:t xml:space="preserve">1. Identification as a study of diagnostic accuracy</w:t>
              </w:r>
            </w:hyperlink>
          </w:p>
        </w:tc>
        <w:tc>
          <w:tcPr/>
          <w:p>
            <w:pPr>
              <w:pStyle w:val="Compact"/>
            </w:pPr>
            <w:r>
              <w:t xml:space="preserve">Identification as a study of diagnostic accuracy using at least one measure of accuracy (such as sensitivity, specificity, predictive values, or AUC).</w:t>
            </w:r>
          </w:p>
        </w:tc>
        <w:tc>
          <w:tcPr/>
          <w:p>
            <w:pPr>
              <w:pStyle w:val="Compact"/>
            </w:pPr>
          </w:p>
        </w:tc>
      </w:tr>
      <w:tr>
        <w:tc>
          <w:tcPr/>
          <w:p>
            <w:pPr>
              <w:pStyle w:val="Compact"/>
            </w:pPr>
            <w:r>
              <w:t xml:space="preserve"> </w:t>
            </w:r>
            <w:r>
              <w:rPr>
                <w:b/>
                <w:bCs/>
              </w:rPr>
              <w:t xml:space="preserve">Abstract</w:t>
            </w:r>
          </w:p>
        </w:tc>
        <w:tc>
          <w:tcPr/>
          <w:p>
            <w:pPr>
              <w:pStyle w:val="Compact"/>
            </w:pP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Structured summary of study design, methods, results and conclusions (for specific guidance, see STARD for Abstracts).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Background</w:t>
              </w:r>
            </w:hyperlink>
          </w:p>
        </w:tc>
        <w:tc>
          <w:tcPr/>
          <w:p>
            <w:pPr>
              <w:pStyle w:val="Compact"/>
            </w:pPr>
            <w:r>
              <w:t xml:space="preserve">Scientific and clinical background, including the intended use and clinical role of the index test.</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Study objectives and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Study design</w:t>
              </w:r>
            </w:hyperlink>
          </w:p>
        </w:tc>
        <w:tc>
          <w:tcPr/>
          <w:p>
            <w:pPr>
              <w:pStyle w:val="Compact"/>
            </w:pPr>
            <w:r>
              <w:t xml:space="preserve">Whether data collection was planned before the index test and reference standard were performed (prospective study) or after (retrospective study).</w:t>
            </w: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31">
              <w:r>
                <w:rPr>
                  <w:rStyle w:val="Hyperlink"/>
                </w:rPr>
                <w:t xml:space="preserve">6. Eligibility criteria</w:t>
              </w:r>
            </w:hyperlink>
          </w:p>
        </w:tc>
        <w:tc>
          <w:tcPr/>
          <w:p>
            <w:pPr>
              <w:pStyle w:val="Compact"/>
            </w:pPr>
            <w:r>
              <w:t xml:space="preserve">Eligibility criteria.</w:t>
            </w:r>
          </w:p>
        </w:tc>
        <w:tc>
          <w:tcPr/>
          <w:p>
            <w:pPr>
              <w:pStyle w:val="Compact"/>
            </w:pPr>
          </w:p>
        </w:tc>
      </w:tr>
      <w:tr>
        <w:tc>
          <w:tcPr/>
          <w:p>
            <w:pPr>
              <w:pStyle w:val="Compact"/>
            </w:pPr>
            <w:hyperlink r:id="rId32">
              <w:r>
                <w:rPr>
                  <w:rStyle w:val="Hyperlink"/>
                </w:rPr>
                <w:t xml:space="preserve">7. Identifying eligible participants</w:t>
              </w:r>
            </w:hyperlink>
          </w:p>
        </w:tc>
        <w:tc>
          <w:tcPr/>
          <w:p>
            <w:pPr>
              <w:pStyle w:val="Compact"/>
            </w:pPr>
            <w:r>
              <w:t xml:space="preserve">On what basis potentially eligible participants were identified (such as symptoms, results from previous tests, inclusion in registry).</w:t>
            </w:r>
          </w:p>
        </w:tc>
        <w:tc>
          <w:tcPr/>
          <w:p>
            <w:pPr>
              <w:pStyle w:val="Compact"/>
            </w:pPr>
          </w:p>
        </w:tc>
      </w:tr>
      <w:tr>
        <w:tc>
          <w:tcPr/>
          <w:p>
            <w:pPr>
              <w:pStyle w:val="Compact"/>
            </w:pPr>
            <w:hyperlink r:id="rId33">
              <w:r>
                <w:rPr>
                  <w:rStyle w:val="Hyperlink"/>
                </w:rPr>
                <w:t xml:space="preserve">8. Setting, location, and dates</w:t>
              </w:r>
            </w:hyperlink>
          </w:p>
        </w:tc>
        <w:tc>
          <w:tcPr/>
          <w:p>
            <w:pPr>
              <w:pStyle w:val="Compact"/>
            </w:pPr>
            <w:r>
              <w:t xml:space="preserve">Where and when potentially eligible participants were identified (setting, location and dates).</w:t>
            </w:r>
          </w:p>
        </w:tc>
        <w:tc>
          <w:tcPr/>
          <w:p>
            <w:pPr>
              <w:pStyle w:val="Compact"/>
            </w:pPr>
          </w:p>
        </w:tc>
      </w:tr>
      <w:tr>
        <w:tc>
          <w:tcPr/>
          <w:p>
            <w:pPr>
              <w:pStyle w:val="Compact"/>
            </w:pPr>
            <w:hyperlink r:id="rId34">
              <w:r>
                <w:rPr>
                  <w:rStyle w:val="Hyperlink"/>
                </w:rPr>
                <w:t xml:space="preserve">9. Consecutive, random or convenience series</w:t>
              </w:r>
            </w:hyperlink>
          </w:p>
        </w:tc>
        <w:tc>
          <w:tcPr/>
          <w:p>
            <w:pPr>
              <w:pStyle w:val="Compact"/>
            </w:pPr>
            <w:r>
              <w:t xml:space="preserve">Whether participants formed a consecutive, random or convenience series.</w:t>
            </w:r>
          </w:p>
        </w:tc>
        <w:tc>
          <w:tcPr/>
          <w:p>
            <w:pPr>
              <w:pStyle w:val="Compact"/>
            </w:pPr>
          </w:p>
        </w:tc>
      </w:tr>
      <w:tr>
        <w:tc>
          <w:tcPr/>
          <w:p>
            <w:pPr>
              <w:pStyle w:val="Compact"/>
            </w:pPr>
            <w:r>
              <w:t xml:space="preserve"> </w:t>
            </w:r>
            <w:r>
              <w:t xml:space="preserve">Test Methods</w:t>
            </w:r>
          </w:p>
        </w:tc>
        <w:tc>
          <w:tcPr/>
          <w:p>
            <w:pPr>
              <w:pStyle w:val="Compact"/>
            </w:pPr>
          </w:p>
        </w:tc>
        <w:tc>
          <w:tcPr/>
          <w:p>
            <w:pPr>
              <w:pStyle w:val="Compact"/>
            </w:pPr>
          </w:p>
        </w:tc>
      </w:tr>
      <w:tr>
        <w:tc>
          <w:tcPr/>
          <w:p>
            <w:pPr>
              <w:pStyle w:val="Compact"/>
            </w:pPr>
            <w:hyperlink r:id="rId35">
              <w:r>
                <w:rPr>
                  <w:rStyle w:val="Hyperlink"/>
                </w:rPr>
                <w:t xml:space="preserve">10a. Index test</w:t>
              </w:r>
            </w:hyperlink>
          </w:p>
        </w:tc>
        <w:tc>
          <w:tcPr/>
          <w:p>
            <w:pPr>
              <w:pStyle w:val="Compact"/>
            </w:pPr>
            <w:r>
              <w:t xml:space="preserve">Index test, in sufficient detail to allow replication.</w:t>
            </w:r>
          </w:p>
        </w:tc>
        <w:tc>
          <w:tcPr/>
          <w:p>
            <w:pPr>
              <w:pStyle w:val="Compact"/>
            </w:pPr>
          </w:p>
        </w:tc>
      </w:tr>
      <w:tr>
        <w:tc>
          <w:tcPr/>
          <w:p>
            <w:pPr>
              <w:pStyle w:val="Compact"/>
            </w:pPr>
            <w:hyperlink r:id="rId36">
              <w:r>
                <w:rPr>
                  <w:rStyle w:val="Hyperlink"/>
                </w:rPr>
                <w:t xml:space="preserve">10b. Reference standard</w:t>
              </w:r>
            </w:hyperlink>
          </w:p>
        </w:tc>
        <w:tc>
          <w:tcPr/>
          <w:p>
            <w:pPr>
              <w:pStyle w:val="Compact"/>
            </w:pPr>
            <w:r>
              <w:t xml:space="preserve">Reference standard, in sufficient detail to allow replication.</w:t>
            </w:r>
          </w:p>
        </w:tc>
        <w:tc>
          <w:tcPr/>
          <w:p>
            <w:pPr>
              <w:pStyle w:val="Compact"/>
            </w:pPr>
          </w:p>
        </w:tc>
      </w:tr>
      <w:tr>
        <w:tc>
          <w:tcPr/>
          <w:p>
            <w:pPr>
              <w:pStyle w:val="Compact"/>
            </w:pPr>
            <w:hyperlink r:id="rId37">
              <w:r>
                <w:rPr>
                  <w:rStyle w:val="Hyperlink"/>
                </w:rPr>
                <w:t xml:space="preserve">11. Reference standard rationale</w:t>
              </w:r>
            </w:hyperlink>
          </w:p>
        </w:tc>
        <w:tc>
          <w:tcPr/>
          <w:p>
            <w:pPr>
              <w:pStyle w:val="Compact"/>
            </w:pPr>
            <w:r>
              <w:t xml:space="preserve">Rationale for choosing the reference standard (if alternatives exist).</w:t>
            </w:r>
          </w:p>
        </w:tc>
        <w:tc>
          <w:tcPr/>
          <w:p>
            <w:pPr>
              <w:pStyle w:val="Compact"/>
            </w:pPr>
          </w:p>
        </w:tc>
      </w:tr>
      <w:tr>
        <w:tc>
          <w:tcPr/>
          <w:p>
            <w:pPr>
              <w:pStyle w:val="Compact"/>
            </w:pPr>
            <w:hyperlink r:id="rId38">
              <w:r>
                <w:rPr>
                  <w:rStyle w:val="Hyperlink"/>
                </w:rPr>
                <w:t xml:space="preserve">12a. Index test cut-offs or categories</w:t>
              </w:r>
            </w:hyperlink>
          </w:p>
        </w:tc>
        <w:tc>
          <w:tcPr/>
          <w:p>
            <w:pPr>
              <w:pStyle w:val="Compact"/>
            </w:pPr>
            <w:r>
              <w:t xml:space="preserve">Definition of and rationale for test positivity cut-offs or result categories of the index test, distinguishing prespecified from exploratory.</w:t>
            </w:r>
          </w:p>
        </w:tc>
        <w:tc>
          <w:tcPr/>
          <w:p>
            <w:pPr>
              <w:pStyle w:val="Compact"/>
            </w:pPr>
          </w:p>
        </w:tc>
      </w:tr>
      <w:tr>
        <w:tc>
          <w:tcPr/>
          <w:p>
            <w:pPr>
              <w:pStyle w:val="Compact"/>
            </w:pPr>
            <w:hyperlink r:id="rId39">
              <w:r>
                <w:rPr>
                  <w:rStyle w:val="Hyperlink"/>
                </w:rPr>
                <w:t xml:space="preserve">12b. Reference standard cut-offs or categories</w:t>
              </w:r>
            </w:hyperlink>
          </w:p>
        </w:tc>
        <w:tc>
          <w:tcPr/>
          <w:p>
            <w:pPr>
              <w:pStyle w:val="Compact"/>
            </w:pPr>
            <w:r>
              <w:t xml:space="preserve">Definition of and rationale for test positivity cut-offs or result categories of the reference standard, distinguishing prespecified from exploratory.</w:t>
            </w:r>
          </w:p>
        </w:tc>
        <w:tc>
          <w:tcPr/>
          <w:p>
            <w:pPr>
              <w:pStyle w:val="Compact"/>
            </w:pPr>
          </w:p>
        </w:tc>
      </w:tr>
      <w:tr>
        <w:tc>
          <w:tcPr/>
          <w:p>
            <w:pPr>
              <w:pStyle w:val="Compact"/>
            </w:pPr>
            <w:hyperlink r:id="rId40">
              <w:r>
                <w:rPr>
                  <w:rStyle w:val="Hyperlink"/>
                </w:rPr>
                <w:t xml:space="preserve">13a. Information available to performers or readers of the index test</w:t>
              </w:r>
            </w:hyperlink>
          </w:p>
        </w:tc>
        <w:tc>
          <w:tcPr/>
          <w:p>
            <w:pPr>
              <w:pStyle w:val="Compact"/>
            </w:pPr>
            <w:r>
              <w:t xml:space="preserve">Whether clinical information and reference standard results were available to the performers or readers of the index test.</w:t>
            </w:r>
          </w:p>
        </w:tc>
        <w:tc>
          <w:tcPr/>
          <w:p>
            <w:pPr>
              <w:pStyle w:val="Compact"/>
            </w:pPr>
          </w:p>
        </w:tc>
      </w:tr>
      <w:tr>
        <w:tc>
          <w:tcPr/>
          <w:p>
            <w:pPr>
              <w:pStyle w:val="Compact"/>
            </w:pPr>
            <w:hyperlink r:id="rId41">
              <w:r>
                <w:rPr>
                  <w:rStyle w:val="Hyperlink"/>
                </w:rPr>
                <w:t xml:space="preserve">13b. Information available to reference standard assessors</w:t>
              </w:r>
            </w:hyperlink>
          </w:p>
        </w:tc>
        <w:tc>
          <w:tcPr/>
          <w:p>
            <w:pPr>
              <w:pStyle w:val="Compact"/>
            </w:pPr>
            <w:r>
              <w:t xml:space="preserve">Whether clinical information and index test results were available to the assessors of the reference standard.</w:t>
            </w:r>
          </w:p>
        </w:tc>
        <w:tc>
          <w:tcPr/>
          <w:p>
            <w:pPr>
              <w:pStyle w:val="Compact"/>
            </w:pPr>
          </w:p>
        </w:tc>
      </w:tr>
      <w:tr>
        <w:tc>
          <w:tcPr/>
          <w:p>
            <w:pPr>
              <w:pStyle w:val="Compact"/>
            </w:pPr>
            <w:r>
              <w:t xml:space="preserve"> </w:t>
            </w:r>
            <w:r>
              <w:t xml:space="preserve">Analysis</w:t>
            </w:r>
          </w:p>
        </w:tc>
        <w:tc>
          <w:tcPr/>
          <w:p>
            <w:pPr>
              <w:pStyle w:val="Compact"/>
            </w:pPr>
          </w:p>
        </w:tc>
        <w:tc>
          <w:tcPr/>
          <w:p>
            <w:pPr>
              <w:pStyle w:val="Compact"/>
            </w:pPr>
          </w:p>
        </w:tc>
      </w:tr>
      <w:tr>
        <w:tc>
          <w:tcPr/>
          <w:p>
            <w:pPr>
              <w:pStyle w:val="Compact"/>
            </w:pPr>
            <w:hyperlink r:id="rId42">
              <w:r>
                <w:rPr>
                  <w:rStyle w:val="Hyperlink"/>
                </w:rPr>
                <w:t xml:space="preserve">14. Analysis methods</w:t>
              </w:r>
            </w:hyperlink>
          </w:p>
        </w:tc>
        <w:tc>
          <w:tcPr/>
          <w:p>
            <w:pPr>
              <w:pStyle w:val="Compact"/>
            </w:pPr>
            <w:r>
              <w:t xml:space="preserve">Methods for estimating or comparing measures of diagnostic accuracy.</w:t>
            </w:r>
          </w:p>
        </w:tc>
        <w:tc>
          <w:tcPr/>
          <w:p>
            <w:pPr>
              <w:pStyle w:val="Compact"/>
            </w:pPr>
          </w:p>
        </w:tc>
      </w:tr>
      <w:tr>
        <w:tc>
          <w:tcPr/>
          <w:p>
            <w:pPr>
              <w:pStyle w:val="Compact"/>
            </w:pPr>
            <w:hyperlink r:id="rId43">
              <w:r>
                <w:rPr>
                  <w:rStyle w:val="Hyperlink"/>
                </w:rPr>
                <w:t xml:space="preserve">15. Indeterminate results</w:t>
              </w:r>
            </w:hyperlink>
          </w:p>
        </w:tc>
        <w:tc>
          <w:tcPr/>
          <w:p>
            <w:pPr>
              <w:pStyle w:val="Compact"/>
            </w:pPr>
            <w:r>
              <w:t xml:space="preserve">How indeterminate index test or reference standard results were handled.</w:t>
            </w:r>
          </w:p>
        </w:tc>
        <w:tc>
          <w:tcPr/>
          <w:p>
            <w:pPr>
              <w:pStyle w:val="Compact"/>
            </w:pPr>
          </w:p>
        </w:tc>
      </w:tr>
      <w:tr>
        <w:tc>
          <w:tcPr/>
          <w:p>
            <w:pPr>
              <w:pStyle w:val="Compact"/>
            </w:pPr>
            <w:hyperlink r:id="rId44">
              <w:r>
                <w:rPr>
                  <w:rStyle w:val="Hyperlink"/>
                </w:rPr>
                <w:t xml:space="preserve">16. Missing data</w:t>
              </w:r>
            </w:hyperlink>
          </w:p>
        </w:tc>
        <w:tc>
          <w:tcPr/>
          <w:p>
            <w:pPr>
              <w:pStyle w:val="Compact"/>
            </w:pPr>
            <w:r>
              <w:t xml:space="preserve">How missing data on the index test and reference standard were handled.</w:t>
            </w:r>
          </w:p>
        </w:tc>
        <w:tc>
          <w:tcPr/>
          <w:p>
            <w:pPr>
              <w:pStyle w:val="Compact"/>
            </w:pPr>
          </w:p>
        </w:tc>
      </w:tr>
      <w:tr>
        <w:tc>
          <w:tcPr/>
          <w:p>
            <w:pPr>
              <w:pStyle w:val="Compact"/>
            </w:pPr>
            <w:hyperlink r:id="rId45">
              <w:r>
                <w:rPr>
                  <w:rStyle w:val="Hyperlink"/>
                </w:rPr>
                <w:t xml:space="preserve">17. Variability</w:t>
              </w:r>
            </w:hyperlink>
          </w:p>
        </w:tc>
        <w:tc>
          <w:tcPr/>
          <w:p>
            <w:pPr>
              <w:pStyle w:val="Compact"/>
            </w:pPr>
            <w:r>
              <w:t xml:space="preserve">Any analyses of variability in diagnostic accuracy, distinguishing prespecified from exploratory.</w:t>
            </w:r>
          </w:p>
        </w:tc>
        <w:tc>
          <w:tcPr/>
          <w:p>
            <w:pPr>
              <w:pStyle w:val="Compact"/>
            </w:pPr>
          </w:p>
        </w:tc>
      </w:tr>
      <w:tr>
        <w:tc>
          <w:tcPr/>
          <w:p>
            <w:pPr>
              <w:pStyle w:val="Compact"/>
            </w:pPr>
            <w:hyperlink r:id="rId46">
              <w:r>
                <w:rPr>
                  <w:rStyle w:val="Hyperlink"/>
                </w:rPr>
                <w:t xml:space="preserve">18. Intended sample size</w:t>
              </w:r>
            </w:hyperlink>
          </w:p>
        </w:tc>
        <w:tc>
          <w:tcPr/>
          <w:p>
            <w:pPr>
              <w:pStyle w:val="Compact"/>
            </w:pPr>
            <w:r>
              <w:t xml:space="preserve">Intended sample size and how it was determined.</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47">
              <w:r>
                <w:rPr>
                  <w:rStyle w:val="Hyperlink"/>
                </w:rPr>
                <w:t xml:space="preserve">19. Participant flow diagram</w:t>
              </w:r>
            </w:hyperlink>
          </w:p>
        </w:tc>
        <w:tc>
          <w:tcPr/>
          <w:p>
            <w:pPr>
              <w:pStyle w:val="Compact"/>
            </w:pPr>
            <w:r>
              <w:t xml:space="preserve">Flow of participants, using a diagram.</w:t>
            </w:r>
          </w:p>
        </w:tc>
        <w:tc>
          <w:tcPr/>
          <w:p>
            <w:pPr>
              <w:pStyle w:val="Compact"/>
            </w:pPr>
          </w:p>
        </w:tc>
      </w:tr>
      <w:tr>
        <w:tc>
          <w:tcPr/>
          <w:p>
            <w:pPr>
              <w:pStyle w:val="Compact"/>
            </w:pPr>
            <w:hyperlink r:id="rId48">
              <w:r>
                <w:rPr>
                  <w:rStyle w:val="Hyperlink"/>
                </w:rPr>
                <w:t xml:space="preserve">20. Baseline characteristics</w:t>
              </w:r>
            </w:hyperlink>
          </w:p>
        </w:tc>
        <w:tc>
          <w:tcPr/>
          <w:p>
            <w:pPr>
              <w:pStyle w:val="Compact"/>
            </w:pPr>
            <w:r>
              <w:t xml:space="preserve">Baseline demographic and clinical characteristics of participants.</w:t>
            </w:r>
          </w:p>
        </w:tc>
        <w:tc>
          <w:tcPr/>
          <w:p>
            <w:pPr>
              <w:pStyle w:val="Compact"/>
            </w:pPr>
          </w:p>
        </w:tc>
      </w:tr>
      <w:tr>
        <w:tc>
          <w:tcPr/>
          <w:p>
            <w:pPr>
              <w:pStyle w:val="Compact"/>
            </w:pPr>
            <w:hyperlink r:id="rId49">
              <w:r>
                <w:rPr>
                  <w:rStyle w:val="Hyperlink"/>
                </w:rPr>
                <w:t xml:space="preserve">21a. Participants with the target condition</w:t>
              </w:r>
            </w:hyperlink>
          </w:p>
        </w:tc>
        <w:tc>
          <w:tcPr/>
          <w:p>
            <w:pPr>
              <w:pStyle w:val="Compact"/>
            </w:pPr>
            <w:r>
              <w:t xml:space="preserve">Distribution of severity of disease in those with the target condition.</w:t>
            </w:r>
          </w:p>
        </w:tc>
        <w:tc>
          <w:tcPr/>
          <w:p>
            <w:pPr>
              <w:pStyle w:val="Compact"/>
            </w:pPr>
          </w:p>
        </w:tc>
      </w:tr>
      <w:tr>
        <w:tc>
          <w:tcPr/>
          <w:p>
            <w:pPr>
              <w:pStyle w:val="Compact"/>
            </w:pPr>
            <w:hyperlink r:id="rId50">
              <w:r>
                <w:rPr>
                  <w:rStyle w:val="Hyperlink"/>
                </w:rPr>
                <w:t xml:space="preserve">21b. Participants without the target condition</w:t>
              </w:r>
            </w:hyperlink>
          </w:p>
        </w:tc>
        <w:tc>
          <w:tcPr/>
          <w:p>
            <w:pPr>
              <w:pStyle w:val="Compact"/>
            </w:pPr>
            <w:r>
              <w:t xml:space="preserve">Distribution of alternative diagnoses in those without the target condition.</w:t>
            </w:r>
          </w:p>
        </w:tc>
        <w:tc>
          <w:tcPr/>
          <w:p>
            <w:pPr>
              <w:pStyle w:val="Compact"/>
            </w:pPr>
          </w:p>
        </w:tc>
      </w:tr>
      <w:tr>
        <w:tc>
          <w:tcPr/>
          <w:p>
            <w:pPr>
              <w:pStyle w:val="Compact"/>
            </w:pPr>
            <w:hyperlink r:id="rId51">
              <w:r>
                <w:rPr>
                  <w:rStyle w:val="Hyperlink"/>
                </w:rPr>
                <w:t xml:space="preserve">22. Time interval</w:t>
              </w:r>
            </w:hyperlink>
          </w:p>
        </w:tc>
        <w:tc>
          <w:tcPr/>
          <w:p>
            <w:pPr>
              <w:pStyle w:val="Compact"/>
            </w:pPr>
            <w:r>
              <w:t xml:space="preserve">Time interval and any clinical interventions between index test and reference standard.</w:t>
            </w:r>
          </w:p>
        </w:tc>
        <w:tc>
          <w:tcPr/>
          <w:p>
            <w:pPr>
              <w:pStyle w:val="Compact"/>
            </w:pPr>
          </w:p>
        </w:tc>
      </w:tr>
      <w:tr>
        <w:tc>
          <w:tcPr/>
          <w:p>
            <w:pPr>
              <w:pStyle w:val="Compact"/>
            </w:pPr>
            <w:r>
              <w:t xml:space="preserve"> </w:t>
            </w:r>
            <w:r>
              <w:t xml:space="preserve">Test Results</w:t>
            </w:r>
          </w:p>
        </w:tc>
        <w:tc>
          <w:tcPr/>
          <w:p>
            <w:pPr>
              <w:pStyle w:val="Compact"/>
            </w:pPr>
          </w:p>
        </w:tc>
        <w:tc>
          <w:tcPr/>
          <w:p>
            <w:pPr>
              <w:pStyle w:val="Compact"/>
            </w:pPr>
          </w:p>
        </w:tc>
      </w:tr>
      <w:tr>
        <w:tc>
          <w:tcPr/>
          <w:p>
            <w:pPr>
              <w:pStyle w:val="Compact"/>
            </w:pPr>
            <w:hyperlink r:id="rId52">
              <w:r>
                <w:rPr>
                  <w:rStyle w:val="Hyperlink"/>
                </w:rPr>
                <w:t xml:space="preserve">23. Index test and reference standard results</w:t>
              </w:r>
            </w:hyperlink>
          </w:p>
        </w:tc>
        <w:tc>
          <w:tcPr/>
          <w:p>
            <w:pPr>
              <w:pStyle w:val="Compact"/>
            </w:pPr>
            <w:r>
              <w:t xml:space="preserve">Cross tabulation of the index test results (or their distribution) by the results of the reference standard.</w:t>
            </w:r>
          </w:p>
        </w:tc>
        <w:tc>
          <w:tcPr/>
          <w:p>
            <w:pPr>
              <w:pStyle w:val="Compact"/>
            </w:pPr>
          </w:p>
        </w:tc>
      </w:tr>
      <w:tr>
        <w:tc>
          <w:tcPr/>
          <w:p>
            <w:pPr>
              <w:pStyle w:val="Compact"/>
            </w:pPr>
            <w:hyperlink r:id="rId53">
              <w:r>
                <w:rPr>
                  <w:rStyle w:val="Hyperlink"/>
                </w:rPr>
                <w:t xml:space="preserve">24. Estimates of accuracy</w:t>
              </w:r>
            </w:hyperlink>
          </w:p>
        </w:tc>
        <w:tc>
          <w:tcPr/>
          <w:p>
            <w:pPr>
              <w:pStyle w:val="Compact"/>
            </w:pPr>
            <w:r>
              <w:t xml:space="preserve">Estimates of diagnostic accuracy and their precision (such as 95% CIs).</w:t>
            </w:r>
          </w:p>
        </w:tc>
        <w:tc>
          <w:tcPr/>
          <w:p>
            <w:pPr>
              <w:pStyle w:val="Compact"/>
            </w:pPr>
          </w:p>
        </w:tc>
      </w:tr>
      <w:tr>
        <w:tc>
          <w:tcPr/>
          <w:p>
            <w:pPr>
              <w:pStyle w:val="Compact"/>
            </w:pPr>
            <w:hyperlink r:id="rId54">
              <w:r>
                <w:rPr>
                  <w:rStyle w:val="Hyperlink"/>
                </w:rPr>
                <w:t xml:space="preserve">25. Adverse events</w:t>
              </w:r>
            </w:hyperlink>
          </w:p>
        </w:tc>
        <w:tc>
          <w:tcPr/>
          <w:p>
            <w:pPr>
              <w:pStyle w:val="Compact"/>
            </w:pPr>
            <w:r>
              <w:t xml:space="preserve">Any adverse events from performing the index test or the reference standard.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5">
              <w:r>
                <w:rPr>
                  <w:rStyle w:val="Hyperlink"/>
                </w:rPr>
                <w:t xml:space="preserve">26. Limitations</w:t>
              </w:r>
            </w:hyperlink>
          </w:p>
        </w:tc>
        <w:tc>
          <w:tcPr/>
          <w:p>
            <w:pPr>
              <w:pStyle w:val="Compact"/>
            </w:pPr>
            <w:r>
              <w:t xml:space="preserve">Study limitations, including sources of potential bias, statistical uncertainty and generalisability.</w:t>
            </w:r>
          </w:p>
        </w:tc>
        <w:tc>
          <w:tcPr/>
          <w:p>
            <w:pPr>
              <w:pStyle w:val="Compact"/>
            </w:pPr>
          </w:p>
        </w:tc>
      </w:tr>
      <w:tr>
        <w:tc>
          <w:tcPr/>
          <w:p>
            <w:pPr>
              <w:pStyle w:val="Compact"/>
            </w:pPr>
            <w:hyperlink r:id="rId56">
              <w:r>
                <w:rPr>
                  <w:rStyle w:val="Hyperlink"/>
                </w:rPr>
                <w:t xml:space="preserve">27. Implications for Practice</w:t>
              </w:r>
            </w:hyperlink>
          </w:p>
        </w:tc>
        <w:tc>
          <w:tcPr/>
          <w:p>
            <w:pPr>
              <w:pStyle w:val="Compact"/>
            </w:pPr>
            <w:r>
              <w:t xml:space="preserve">Implications for practice, including the intended use and clinical role of the index test.</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57">
              <w:r>
                <w:rPr>
                  <w:rStyle w:val="Hyperlink"/>
                </w:rPr>
                <w:t xml:space="preserve">28. Registration</w:t>
              </w:r>
            </w:hyperlink>
          </w:p>
        </w:tc>
        <w:tc>
          <w:tcPr/>
          <w:p>
            <w:pPr>
              <w:pStyle w:val="Compact"/>
            </w:pPr>
            <w:r>
              <w:t xml:space="preserve">Registration number and name of registry.</w:t>
            </w:r>
          </w:p>
        </w:tc>
        <w:tc>
          <w:tcPr/>
          <w:p>
            <w:pPr>
              <w:pStyle w:val="Compact"/>
            </w:pPr>
          </w:p>
        </w:tc>
      </w:tr>
      <w:tr>
        <w:tc>
          <w:tcPr/>
          <w:p>
            <w:pPr>
              <w:pStyle w:val="Compact"/>
            </w:pPr>
            <w:hyperlink r:id="rId58">
              <w:r>
                <w:rPr>
                  <w:rStyle w:val="Hyperlink"/>
                </w:rPr>
                <w:t xml:space="preserve">29. Protocol</w:t>
              </w:r>
            </w:hyperlink>
          </w:p>
        </w:tc>
        <w:tc>
          <w:tcPr/>
          <w:p>
            <w:pPr>
              <w:pStyle w:val="Compact"/>
            </w:pPr>
            <w:r>
              <w:t xml:space="preserve">Where the full study protocol can be accessed.</w:t>
            </w:r>
          </w:p>
        </w:tc>
        <w:tc>
          <w:tcPr/>
          <w:p>
            <w:pPr>
              <w:pStyle w:val="Compact"/>
            </w:pPr>
          </w:p>
        </w:tc>
      </w:tr>
      <w:tr>
        <w:tc>
          <w:tcPr/>
          <w:p>
            <w:pPr>
              <w:pStyle w:val="Compact"/>
            </w:pPr>
            <w:hyperlink r:id="rId59">
              <w:r>
                <w:rPr>
                  <w:rStyle w:val="Hyperlink"/>
                </w:rPr>
                <w:t xml:space="preserve">30. Funding</w:t>
              </w:r>
            </w:hyperlink>
          </w:p>
        </w:tc>
        <w:tc>
          <w:tcPr/>
          <w:p>
            <w:pPr>
              <w:pStyle w:val="Compact"/>
            </w:pPr>
            <w:r>
              <w:t xml:space="preserve">Sources of funding and other support; role of funders.</w:t>
            </w:r>
          </w:p>
        </w:tc>
        <w:tc>
          <w:tcPr/>
          <w:p>
            <w:pPr>
              <w:pStyle w:val="Compact"/>
            </w:pPr>
          </w:p>
        </w:tc>
      </w:tr>
    </w:tbl>
    <w:p>
      <w:r>
        <w:br w:type="page"/>
      </w:r>
    </w:p>
    <w:bookmarkStart w:id="60"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0"/>
    <w:bookmarkStart w:id="66" w:name="sec-cite"/>
    <w:p>
      <w:pPr>
        <w:pStyle w:val="Heading2"/>
      </w:pPr>
      <w:r>
        <w:t xml:space="preserve">2 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5" w:name="refs"/>
    <w:bookmarkStart w:id="62"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61">
        <w:r>
          <w:rPr>
            <w:rStyle w:val="Hyperlink"/>
          </w:rPr>
          <w:t xml:space="preserve">https://www.bmj.com/content/351/bmj.h5527</w:t>
        </w:r>
      </w:hyperlink>
    </w:p>
    <w:bookmarkEnd w:id="62"/>
    <w:bookmarkStart w:id="64"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63">
        <w:r>
          <w:rPr>
            <w:rStyle w:val="Hyperlink"/>
          </w:rPr>
          <w:t xml:space="preserve">https:/jamesrharwood.github.io/equator-guidelines-website/guidelines/stard/stard-checklist.docx</w:t>
        </w:r>
      </w:hyperlink>
    </w:p>
    <w:bookmarkEnd w:id="64"/>
    <w:bookmarkEnd w:id="65"/>
    <w:bookmarkEnd w:id="66"/>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3" Target="https://https:/jamesrharwood.github.io/equator-guidelines-website/guidelines/stard/stard-checklist.docx" TargetMode="External" /><Relationship Type="http://schemas.openxmlformats.org/officeDocument/2006/relationships/hyperlink" Id="rId61" Target="https://www.bmj.com/content/351/bmj.h5527"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tard/index.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7" Target="https:/jamesrharwood.github.io/equator-guidelines-website/guidelines/stard/items/abstract.html" TargetMode="External" /><Relationship Type="http://schemas.openxmlformats.org/officeDocument/2006/relationships/hyperlink" Id="rId54" Target="https:/jamesrharwood.github.io/equator-guidelines-website/guidelines/stard/items/adverse-events.html" TargetMode="External" /><Relationship Type="http://schemas.openxmlformats.org/officeDocument/2006/relationships/hyperlink" Id="rId42" Target="https:/jamesrharwood.github.io/equator-guidelines-website/guidelines/stard/items/analysis-methods.html" TargetMode="External" /><Relationship Type="http://schemas.openxmlformats.org/officeDocument/2006/relationships/hyperlink" Id="rId28" Target="https:/jamesrharwood.github.io/equator-guidelines-website/guidelines/stard/items/background.html" TargetMode="External" /><Relationship Type="http://schemas.openxmlformats.org/officeDocument/2006/relationships/hyperlink" Id="rId48" Target="https:/jamesrharwood.github.io/equator-guidelines-website/guidelines/stard/items/baseline-characteristics.html" TargetMode="External" /><Relationship Type="http://schemas.openxmlformats.org/officeDocument/2006/relationships/hyperlink" Id="rId34" Target="https:/jamesrharwood.github.io/equator-guidelines-website/guidelines/stard/items/consecutive-random-convenience-series.html" TargetMode="External" /><Relationship Type="http://schemas.openxmlformats.org/officeDocument/2006/relationships/hyperlink" Id="rId31" Target="https:/jamesrharwood.github.io/equator-guidelines-website/guidelines/stard/items/eligibility-criteria.html" TargetMode="External" /><Relationship Type="http://schemas.openxmlformats.org/officeDocument/2006/relationships/hyperlink" Id="rId53" Target="https:/jamesrharwood.github.io/equator-guidelines-website/guidelines/stard/items/estimates-of-accuracy.html" TargetMode="External" /><Relationship Type="http://schemas.openxmlformats.org/officeDocument/2006/relationships/hyperlink" Id="rId47" Target="https:/jamesrharwood.github.io/equator-guidelines-website/guidelines/stard/items/flow-diagram.html" TargetMode="External" /><Relationship Type="http://schemas.openxmlformats.org/officeDocument/2006/relationships/hyperlink" Id="rId59" Target="https:/jamesrharwood.github.io/equator-guidelines-website/guidelines/stard/items/funding.html" TargetMode="External" /><Relationship Type="http://schemas.openxmlformats.org/officeDocument/2006/relationships/hyperlink" Id="rId26" Target="https:/jamesrharwood.github.io/equator-guidelines-website/guidelines/stard/items/identification.html" TargetMode="External" /><Relationship Type="http://schemas.openxmlformats.org/officeDocument/2006/relationships/hyperlink" Id="rId32" Target="https:/jamesrharwood.github.io/equator-guidelines-website/guidelines/stard/items/identifying-eligible-participants.html" TargetMode="External" /><Relationship Type="http://schemas.openxmlformats.org/officeDocument/2006/relationships/hyperlink" Id="rId56" Target="https:/jamesrharwood.github.io/equator-guidelines-website/guidelines/stard/items/implications-for-practice.html" TargetMode="External" /><Relationship Type="http://schemas.openxmlformats.org/officeDocument/2006/relationships/hyperlink" Id="rId43" Target="https:/jamesrharwood.github.io/equator-guidelines-website/guidelines/stard/items/indeterminate-results.html" TargetMode="External" /><Relationship Type="http://schemas.openxmlformats.org/officeDocument/2006/relationships/hyperlink" Id="rId52" Target="https:/jamesrharwood.github.io/equator-guidelines-website/guidelines/stard/items/index-reference-results.html" TargetMode="External" /><Relationship Type="http://schemas.openxmlformats.org/officeDocument/2006/relationships/hyperlink" Id="rId38" Target="https:/jamesrharwood.github.io/equator-guidelines-website/guidelines/stard/items/index-test-cut-offs-categories.html" TargetMode="External" /><Relationship Type="http://schemas.openxmlformats.org/officeDocument/2006/relationships/hyperlink" Id="rId35" Target="https:/jamesrharwood.github.io/equator-guidelines-website/guidelines/stard/items/index-test.html" TargetMode="External" /><Relationship Type="http://schemas.openxmlformats.org/officeDocument/2006/relationships/hyperlink" Id="rId40" Target="https:/jamesrharwood.github.io/equator-guidelines-website/guidelines/stard/items/information-available-index.html" TargetMode="External" /><Relationship Type="http://schemas.openxmlformats.org/officeDocument/2006/relationships/hyperlink" Id="rId41" Target="https:/jamesrharwood.github.io/equator-guidelines-website/guidelines/stard/items/information-available-reference.html" TargetMode="External" /><Relationship Type="http://schemas.openxmlformats.org/officeDocument/2006/relationships/hyperlink" Id="rId46" Target="https:/jamesrharwood.github.io/equator-guidelines-website/guidelines/stard/items/intended-sample-size.html" TargetMode="External" /><Relationship Type="http://schemas.openxmlformats.org/officeDocument/2006/relationships/hyperlink" Id="rId55" Target="https:/jamesrharwood.github.io/equator-guidelines-website/guidelines/stard/items/limitations.html" TargetMode="External" /><Relationship Type="http://schemas.openxmlformats.org/officeDocument/2006/relationships/hyperlink" Id="rId44" Target="https:/jamesrharwood.github.io/equator-guidelines-website/guidelines/stard/items/missing-data.html" TargetMode="External" /><Relationship Type="http://schemas.openxmlformats.org/officeDocument/2006/relationships/hyperlink" Id="rId29" Target="https:/jamesrharwood.github.io/equator-guidelines-website/guidelines/stard/items/objectives.html" TargetMode="External" /><Relationship Type="http://schemas.openxmlformats.org/officeDocument/2006/relationships/hyperlink" Id="rId49" Target="https:/jamesrharwood.github.io/equator-guidelines-website/guidelines/stard/items/participants-with-target-condition.html" TargetMode="External" /><Relationship Type="http://schemas.openxmlformats.org/officeDocument/2006/relationships/hyperlink" Id="rId50" Target="https:/jamesrharwood.github.io/equator-guidelines-website/guidelines/stard/items/participants-without-target-condition.html" TargetMode="External" /><Relationship Type="http://schemas.openxmlformats.org/officeDocument/2006/relationships/hyperlink" Id="rId58" Target="https:/jamesrharwood.github.io/equator-guidelines-website/guidelines/stard/items/protocol.html" TargetMode="External" /><Relationship Type="http://schemas.openxmlformats.org/officeDocument/2006/relationships/hyperlink" Id="rId39" Target="https:/jamesrharwood.github.io/equator-guidelines-website/guidelines/stard/items/reference-standard-cut-offs-categories.html" TargetMode="External" /><Relationship Type="http://schemas.openxmlformats.org/officeDocument/2006/relationships/hyperlink" Id="rId37" Target="https:/jamesrharwood.github.io/equator-guidelines-website/guidelines/stard/items/reference-standard-rationale.html" TargetMode="External" /><Relationship Type="http://schemas.openxmlformats.org/officeDocument/2006/relationships/hyperlink" Id="rId36" Target="https:/jamesrharwood.github.io/equator-guidelines-website/guidelines/stard/items/reference-standard.html" TargetMode="External" /><Relationship Type="http://schemas.openxmlformats.org/officeDocument/2006/relationships/hyperlink" Id="rId57" Target="https:/jamesrharwood.github.io/equator-guidelines-website/guidelines/stard/items/registration.html" TargetMode="External" /><Relationship Type="http://schemas.openxmlformats.org/officeDocument/2006/relationships/hyperlink" Id="rId33" Target="https:/jamesrharwood.github.io/equator-guidelines-website/guidelines/stard/items/setting-location-dates.html" TargetMode="External" /><Relationship Type="http://schemas.openxmlformats.org/officeDocument/2006/relationships/hyperlink" Id="rId30" Target="https:/jamesrharwood.github.io/equator-guidelines-website/guidelines/stard/items/study-design.html" TargetMode="External" /><Relationship Type="http://schemas.openxmlformats.org/officeDocument/2006/relationships/hyperlink" Id="rId51" Target="https:/jamesrharwood.github.io/equator-guidelines-website/guidelines/stard/items/time-interval.html" TargetMode="External" /><Relationship Type="http://schemas.openxmlformats.org/officeDocument/2006/relationships/hyperlink" Id="rId45" Target="https:/jamesrharwood.github.io/equator-guidelines-website/guidelines/stard/items/variability.html" TargetMode="External" /></Relationships>
</file>

<file path=word/_rels/footnotes.xml.rels><?xml version="1.0" encoding="UTF-8"?><Relationships xmlns="http://schemas.openxmlformats.org/package/2006/relationships"><Relationship Type="http://schemas.openxmlformats.org/officeDocument/2006/relationships/hyperlink" Id="rId63" Target="https://https:/jamesrharwood.github.io/equator-guidelines-website/guidelines/stard/stard-checklist.docx" TargetMode="External" /><Relationship Type="http://schemas.openxmlformats.org/officeDocument/2006/relationships/hyperlink" Id="rId61" Target="https://www.bmj.com/content/351/bmj.h5527"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tard/index.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7" Target="https:/jamesrharwood.github.io/equator-guidelines-website/guidelines/stard/items/abstract.html" TargetMode="External" /><Relationship Type="http://schemas.openxmlformats.org/officeDocument/2006/relationships/hyperlink" Id="rId54" Target="https:/jamesrharwood.github.io/equator-guidelines-website/guidelines/stard/items/adverse-events.html" TargetMode="External" /><Relationship Type="http://schemas.openxmlformats.org/officeDocument/2006/relationships/hyperlink" Id="rId42" Target="https:/jamesrharwood.github.io/equator-guidelines-website/guidelines/stard/items/analysis-methods.html" TargetMode="External" /><Relationship Type="http://schemas.openxmlformats.org/officeDocument/2006/relationships/hyperlink" Id="rId28" Target="https:/jamesrharwood.github.io/equator-guidelines-website/guidelines/stard/items/background.html" TargetMode="External" /><Relationship Type="http://schemas.openxmlformats.org/officeDocument/2006/relationships/hyperlink" Id="rId48" Target="https:/jamesrharwood.github.io/equator-guidelines-website/guidelines/stard/items/baseline-characteristics.html" TargetMode="External" /><Relationship Type="http://schemas.openxmlformats.org/officeDocument/2006/relationships/hyperlink" Id="rId34" Target="https:/jamesrharwood.github.io/equator-guidelines-website/guidelines/stard/items/consecutive-random-convenience-series.html" TargetMode="External" /><Relationship Type="http://schemas.openxmlformats.org/officeDocument/2006/relationships/hyperlink" Id="rId31" Target="https:/jamesrharwood.github.io/equator-guidelines-website/guidelines/stard/items/eligibility-criteria.html" TargetMode="External" /><Relationship Type="http://schemas.openxmlformats.org/officeDocument/2006/relationships/hyperlink" Id="rId53" Target="https:/jamesrharwood.github.io/equator-guidelines-website/guidelines/stard/items/estimates-of-accuracy.html" TargetMode="External" /><Relationship Type="http://schemas.openxmlformats.org/officeDocument/2006/relationships/hyperlink" Id="rId47" Target="https:/jamesrharwood.github.io/equator-guidelines-website/guidelines/stard/items/flow-diagram.html" TargetMode="External" /><Relationship Type="http://schemas.openxmlformats.org/officeDocument/2006/relationships/hyperlink" Id="rId59" Target="https:/jamesrharwood.github.io/equator-guidelines-website/guidelines/stard/items/funding.html" TargetMode="External" /><Relationship Type="http://schemas.openxmlformats.org/officeDocument/2006/relationships/hyperlink" Id="rId26" Target="https:/jamesrharwood.github.io/equator-guidelines-website/guidelines/stard/items/identification.html" TargetMode="External" /><Relationship Type="http://schemas.openxmlformats.org/officeDocument/2006/relationships/hyperlink" Id="rId32" Target="https:/jamesrharwood.github.io/equator-guidelines-website/guidelines/stard/items/identifying-eligible-participants.html" TargetMode="External" /><Relationship Type="http://schemas.openxmlformats.org/officeDocument/2006/relationships/hyperlink" Id="rId56" Target="https:/jamesrharwood.github.io/equator-guidelines-website/guidelines/stard/items/implications-for-practice.html" TargetMode="External" /><Relationship Type="http://schemas.openxmlformats.org/officeDocument/2006/relationships/hyperlink" Id="rId43" Target="https:/jamesrharwood.github.io/equator-guidelines-website/guidelines/stard/items/indeterminate-results.html" TargetMode="External" /><Relationship Type="http://schemas.openxmlformats.org/officeDocument/2006/relationships/hyperlink" Id="rId52" Target="https:/jamesrharwood.github.io/equator-guidelines-website/guidelines/stard/items/index-reference-results.html" TargetMode="External" /><Relationship Type="http://schemas.openxmlformats.org/officeDocument/2006/relationships/hyperlink" Id="rId38" Target="https:/jamesrharwood.github.io/equator-guidelines-website/guidelines/stard/items/index-test-cut-offs-categories.html" TargetMode="External" /><Relationship Type="http://schemas.openxmlformats.org/officeDocument/2006/relationships/hyperlink" Id="rId35" Target="https:/jamesrharwood.github.io/equator-guidelines-website/guidelines/stard/items/index-test.html" TargetMode="External" /><Relationship Type="http://schemas.openxmlformats.org/officeDocument/2006/relationships/hyperlink" Id="rId40" Target="https:/jamesrharwood.github.io/equator-guidelines-website/guidelines/stard/items/information-available-index.html" TargetMode="External" /><Relationship Type="http://schemas.openxmlformats.org/officeDocument/2006/relationships/hyperlink" Id="rId41" Target="https:/jamesrharwood.github.io/equator-guidelines-website/guidelines/stard/items/information-available-reference.html" TargetMode="External" /><Relationship Type="http://schemas.openxmlformats.org/officeDocument/2006/relationships/hyperlink" Id="rId46" Target="https:/jamesrharwood.github.io/equator-guidelines-website/guidelines/stard/items/intended-sample-size.html" TargetMode="External" /><Relationship Type="http://schemas.openxmlformats.org/officeDocument/2006/relationships/hyperlink" Id="rId55" Target="https:/jamesrharwood.github.io/equator-guidelines-website/guidelines/stard/items/limitations.html" TargetMode="External" /><Relationship Type="http://schemas.openxmlformats.org/officeDocument/2006/relationships/hyperlink" Id="rId44" Target="https:/jamesrharwood.github.io/equator-guidelines-website/guidelines/stard/items/missing-data.html" TargetMode="External" /><Relationship Type="http://schemas.openxmlformats.org/officeDocument/2006/relationships/hyperlink" Id="rId29" Target="https:/jamesrharwood.github.io/equator-guidelines-website/guidelines/stard/items/objectives.html" TargetMode="External" /><Relationship Type="http://schemas.openxmlformats.org/officeDocument/2006/relationships/hyperlink" Id="rId49" Target="https:/jamesrharwood.github.io/equator-guidelines-website/guidelines/stard/items/participants-with-target-condition.html" TargetMode="External" /><Relationship Type="http://schemas.openxmlformats.org/officeDocument/2006/relationships/hyperlink" Id="rId50" Target="https:/jamesrharwood.github.io/equator-guidelines-website/guidelines/stard/items/participants-without-target-condition.html" TargetMode="External" /><Relationship Type="http://schemas.openxmlformats.org/officeDocument/2006/relationships/hyperlink" Id="rId58" Target="https:/jamesrharwood.github.io/equator-guidelines-website/guidelines/stard/items/protocol.html" TargetMode="External" /><Relationship Type="http://schemas.openxmlformats.org/officeDocument/2006/relationships/hyperlink" Id="rId39" Target="https:/jamesrharwood.github.io/equator-guidelines-website/guidelines/stard/items/reference-standard-cut-offs-categories.html" TargetMode="External" /><Relationship Type="http://schemas.openxmlformats.org/officeDocument/2006/relationships/hyperlink" Id="rId37" Target="https:/jamesrharwood.github.io/equator-guidelines-website/guidelines/stard/items/reference-standard-rationale.html" TargetMode="External" /><Relationship Type="http://schemas.openxmlformats.org/officeDocument/2006/relationships/hyperlink" Id="rId36" Target="https:/jamesrharwood.github.io/equator-guidelines-website/guidelines/stard/items/reference-standard.html" TargetMode="External" /><Relationship Type="http://schemas.openxmlformats.org/officeDocument/2006/relationships/hyperlink" Id="rId57" Target="https:/jamesrharwood.github.io/equator-guidelines-website/guidelines/stard/items/registration.html" TargetMode="External" /><Relationship Type="http://schemas.openxmlformats.org/officeDocument/2006/relationships/hyperlink" Id="rId33" Target="https:/jamesrharwood.github.io/equator-guidelines-website/guidelines/stard/items/setting-location-dates.html" TargetMode="External" /><Relationship Type="http://schemas.openxmlformats.org/officeDocument/2006/relationships/hyperlink" Id="rId30" Target="https:/jamesrharwood.github.io/equator-guidelines-website/guidelines/stard/items/study-design.html" TargetMode="External" /><Relationship Type="http://schemas.openxmlformats.org/officeDocument/2006/relationships/hyperlink" Id="rId51" Target="https:/jamesrharwood.github.io/equator-guidelines-website/guidelines/stard/items/time-interval.html" TargetMode="External" /><Relationship Type="http://schemas.openxmlformats.org/officeDocument/2006/relationships/hyperlink" Id="rId45" Target="https:/jamesrharwood.github.io/equator-guidelines-website/guidelines/stard/items/variabilit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checklist</dc:title>
  <dc:creator/>
  <cp:keywords/>
  <dcterms:created xsi:type="dcterms:W3CDTF">2025-04-11T22:00:13Z</dcterms:created>
  <dcterms:modified xsi:type="dcterms:W3CDTF">2025-04-11T22:00:13Z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diagnostic accuracy study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STARD 2015 v1.1</vt:lpwstr>
  </property>
</Properties>
</file>