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guideline writing guide</w:t>
      </w:r>
    </w:p>
    <w:p>
      <w:pPr>
        <w:pStyle w:val="Subtitle"/>
      </w:pPr>
      <w:r>
        <w:t xml:space="preserve">For writing impactful diagnostic accuracy study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STARD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STARD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8" w:name="title-or-abstract"/>
    <w:p>
      <w:pPr>
        <w:pStyle w:val="Heading1"/>
      </w:pPr>
      <w:r>
        <w:t xml:space="preserve">Title or abstract</w:t>
      </w:r>
    </w:p>
    <w:bookmarkStart w:id="27" w:name="Xb3449ec9897125337681345d9fa2ab83edb87d1"/>
    <w:p>
      <w:pPr>
        <w:pStyle w:val="Heading2"/>
      </w:pPr>
      <w:hyperlink r:id="rId26">
        <w:r>
          <w:rPr>
            <w:rStyle w:val="Hyperlink"/>
          </w:rPr>
          <w:t xml:space="preserve">1. Identification as a study of diagnostic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Identification as a study of diagnostic accuracy using at least one measure of accuracy (such as sensitivity, specificity, predictive values, or AUC).</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End w:id="28"/>
    <w:bookmarkStart w:id="31" w:name="abstract"/>
    <w:p>
      <w:pPr>
        <w:pStyle w:val="Heading1"/>
      </w:pPr>
      <w:r>
        <w:t xml:space="preserve">Abstract</w:t>
      </w:r>
    </w:p>
    <w:bookmarkStart w:id="30" w:name="abstract-2"/>
    <w:p>
      <w:pPr>
        <w:pStyle w:val="Heading2"/>
      </w:pPr>
      <w:hyperlink r:id="rId29">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Structured summary of study design, methods, results and conclusions (for specific guidance, see STARD for Abstracts).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30"/>
    <w:bookmarkEnd w:id="31"/>
    <w:bookmarkStart w:id="36" w:name="introduction"/>
    <w:p>
      <w:pPr>
        <w:pStyle w:val="Heading1"/>
      </w:pPr>
      <w:r>
        <w:t xml:space="preserve">Introduction</w:t>
      </w:r>
    </w:p>
    <w:bookmarkStart w:id="33" w:name="background-1"/>
    <w:p>
      <w:pPr>
        <w:pStyle w:val="Heading2"/>
      </w:pPr>
      <w:hyperlink r:id="rId32">
        <w:r>
          <w:rPr>
            <w:rStyle w:val="Hyperlink"/>
          </w:rPr>
          <w:t xml:space="preserve">3. Background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Scientific and clinical background, including the intended use and clinical role of the index test.</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3"/>
    <w:bookmarkStart w:id="35" w:name="objectives-1"/>
    <w:p>
      <w:pPr>
        <w:pStyle w:val="Heading2"/>
      </w:pPr>
      <w:hyperlink r:id="rId34">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objectives and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5"/>
    <w:bookmarkEnd w:id="36"/>
    <w:bookmarkStart w:id="74" w:name="methods"/>
    <w:p>
      <w:pPr>
        <w:pStyle w:val="Heading1"/>
      </w:pPr>
      <w:r>
        <w:t xml:space="preserve">Methods</w:t>
      </w:r>
    </w:p>
    <w:bookmarkStart w:id="38" w:name="study-design-1"/>
    <w:p>
      <w:pPr>
        <w:pStyle w:val="Heading2"/>
      </w:pPr>
      <w:hyperlink r:id="rId37">
        <w:r>
          <w:rPr>
            <w:rStyle w:val="Hyperlink"/>
          </w:rPr>
          <w:t xml:space="preserve">5.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data collection was planned before the index test and reference standard were performed (prospective study) or after (retrospective study).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8"/>
    <w:bookmarkStart w:id="47" w:name="participants"/>
    <w:p>
      <w:pPr>
        <w:pStyle w:val="Heading2"/>
      </w:pPr>
      <w:r>
        <w:t xml:space="preserve">Participants</w:t>
      </w:r>
    </w:p>
    <w:bookmarkStart w:id="40" w:name="eligibility-criteria-1"/>
    <w:p>
      <w:pPr>
        <w:pStyle w:val="Heading3"/>
      </w:pPr>
      <w:hyperlink r:id="rId39">
        <w:r>
          <w:rPr>
            <w:rStyle w:val="Hyperlink"/>
          </w:rPr>
          <w:t xml:space="preserve">6.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Eligibility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40"/>
    <w:bookmarkStart w:id="42" w:name="identifying-eligible-participants-1"/>
    <w:p>
      <w:pPr>
        <w:pStyle w:val="Heading3"/>
      </w:pPr>
      <w:hyperlink r:id="rId41">
        <w:r>
          <w:rPr>
            <w:rStyle w:val="Hyperlink"/>
          </w:rPr>
          <w:t xml:space="preserve">7. Identifying eligible participants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On what basis potentially eligible participants were identified (such as symptoms, results from previous tests, inclusion in registry).</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2"/>
    <w:bookmarkStart w:id="44" w:name="setting-location-and-dates-1"/>
    <w:p>
      <w:pPr>
        <w:pStyle w:val="Heading3"/>
      </w:pPr>
      <w:hyperlink r:id="rId43">
        <w:r>
          <w:rPr>
            <w:rStyle w:val="Hyperlink"/>
          </w:rPr>
          <w:t xml:space="preserve">8. Setting, location, and dates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and when potentially eligible participants were identified (setting, location and dates).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X2f273aecb0cd9dcb54069ddfb8b1dfee08af24a"/>
    <w:p>
      <w:pPr>
        <w:pStyle w:val="Heading3"/>
      </w:pPr>
      <w:hyperlink r:id="rId45">
        <w:r>
          <w:rPr>
            <w:rStyle w:val="Hyperlink"/>
          </w:rPr>
          <w:t xml:space="preserve">9. Consecutive, random or convenience series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participants formed a consecutive, random or convenience series.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62" w:name="test-methods"/>
    <w:p>
      <w:pPr>
        <w:pStyle w:val="Heading2"/>
      </w:pPr>
      <w:r>
        <w:t xml:space="preserve">Test Methods</w:t>
      </w:r>
    </w:p>
    <w:bookmarkStart w:id="49" w:name="a.-index-test-1"/>
    <w:p>
      <w:pPr>
        <w:pStyle w:val="Heading3"/>
      </w:pPr>
      <w:hyperlink r:id="rId48">
        <w:r>
          <w:rPr>
            <w:rStyle w:val="Hyperlink"/>
          </w:rPr>
          <w:t xml:space="preserve">10a.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Index test, in sufficient detail to allow replication.</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1" w:name="b.-reference-standard-1"/>
    <w:p>
      <w:pPr>
        <w:pStyle w:val="Heading3"/>
      </w:pPr>
      <w:hyperlink r:id="rId50">
        <w:r>
          <w:rPr>
            <w:rStyle w:val="Hyperlink"/>
          </w:rPr>
          <w:t xml:space="preserve">10b. Reference standard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Reference standard, in sufficient detail to allow replication.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reference-standard-rationale-1"/>
    <w:p>
      <w:pPr>
        <w:pStyle w:val="Heading3"/>
      </w:pPr>
      <w:hyperlink r:id="rId52">
        <w:r>
          <w:rPr>
            <w:rStyle w:val="Hyperlink"/>
          </w:rPr>
          <w:t xml:space="preserve">11. Reference standard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Rationale for choosing the reference standard (if alternatives exist).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Start w:id="55" w:name="a.-index-test-cut-offs-or-categories-1"/>
    <w:p>
      <w:pPr>
        <w:pStyle w:val="Heading3"/>
      </w:pPr>
      <w:hyperlink r:id="rId54">
        <w:r>
          <w:rPr>
            <w:rStyle w:val="Hyperlink"/>
          </w:rPr>
          <w:t xml:space="preserve">12a. Index test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index test, distinguishing prespecified from exploratory.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X9fbe31e4a6377e16962e552264cc4d97f04207d"/>
    <w:p>
      <w:pPr>
        <w:pStyle w:val="Heading3"/>
      </w:pPr>
      <w:hyperlink r:id="rId56">
        <w:r>
          <w:rPr>
            <w:rStyle w:val="Hyperlink"/>
          </w:rPr>
          <w:t xml:space="preserve">12b. Reference standard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reference standard, distinguishing prespecified from exploratory.</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Start w:id="59" w:name="X227765fed814399973c28f2a07757e1a942ee54"/>
    <w:p>
      <w:pPr>
        <w:pStyle w:val="Heading3"/>
      </w:pPr>
      <w:hyperlink r:id="rId58">
        <w:r>
          <w:rPr>
            <w:rStyle w:val="Hyperlink"/>
          </w:rPr>
          <w:t xml:space="preserve">13a. Information available to performers or readers of the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reference standard results were available to the performers or readers of the index test.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9"/>
    <w:bookmarkStart w:id="61" w:name="Xfc521d278f01642056da7e65c1418b71772030f"/>
    <w:p>
      <w:pPr>
        <w:pStyle w:val="Heading3"/>
      </w:pPr>
      <w:hyperlink r:id="rId60">
        <w:r>
          <w:rPr>
            <w:rStyle w:val="Hyperlink"/>
          </w:rPr>
          <w:t xml:space="preserve">13b. Information available to reference standard assessors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index test results were available to the assessors of the reference standard.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1"/>
    <w:bookmarkEnd w:id="62"/>
    <w:bookmarkStart w:id="73" w:name="analysis"/>
    <w:p>
      <w:pPr>
        <w:pStyle w:val="Heading2"/>
      </w:pPr>
      <w:r>
        <w:t xml:space="preserve">Analysis</w:t>
      </w:r>
    </w:p>
    <w:bookmarkStart w:id="64" w:name="analysis-methods-1"/>
    <w:p>
      <w:pPr>
        <w:pStyle w:val="Heading3"/>
      </w:pPr>
      <w:hyperlink r:id="rId63">
        <w:r>
          <w:rPr>
            <w:rStyle w:val="Hyperlink"/>
          </w:rPr>
          <w:t xml:space="preserve">14. Analysis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Methods for estimating or comparing measures of diagnostic accuracy.</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4"/>
    <w:bookmarkStart w:id="66" w:name="indeterminate-results-1"/>
    <w:p>
      <w:pPr>
        <w:pStyle w:val="Heading3"/>
      </w:pPr>
      <w:hyperlink r:id="rId65">
        <w:r>
          <w:rPr>
            <w:rStyle w:val="Hyperlink"/>
          </w:rPr>
          <w:t xml:space="preserve">15. Indeterminate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indeterminate index test or reference standard results were handled.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6"/>
    <w:bookmarkStart w:id="68" w:name="missing-data-1"/>
    <w:p>
      <w:pPr>
        <w:pStyle w:val="Heading3"/>
      </w:pPr>
      <w:hyperlink r:id="rId67">
        <w:r>
          <w:rPr>
            <w:rStyle w:val="Hyperlink"/>
          </w:rPr>
          <w:t xml:space="preserve">16.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missing data on the index test and reference standard were handled.</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8"/>
    <w:bookmarkStart w:id="70" w:name="variability-1"/>
    <w:p>
      <w:pPr>
        <w:pStyle w:val="Heading3"/>
      </w:pPr>
      <w:hyperlink r:id="rId69">
        <w:r>
          <w:rPr>
            <w:rStyle w:val="Hyperlink"/>
          </w:rPr>
          <w:t xml:space="preserve">17. Variability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analyses of variability in diagnostic accuracy, distinguishing prespecified from exploratory.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0"/>
    <w:bookmarkStart w:id="72" w:name="intended-sample-size-1"/>
    <w:p>
      <w:pPr>
        <w:pStyle w:val="Heading3"/>
      </w:pPr>
      <w:hyperlink r:id="rId71">
        <w:r>
          <w:rPr>
            <w:rStyle w:val="Hyperlink"/>
          </w:rPr>
          <w:t xml:space="preserve">18. Intended sample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Intended sample size and how it was determined.</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2"/>
    <w:bookmarkEnd w:id="73"/>
    <w:bookmarkEnd w:id="74"/>
    <w:bookmarkStart w:id="93" w:name="results"/>
    <w:p>
      <w:pPr>
        <w:pStyle w:val="Heading1"/>
      </w:pPr>
      <w:r>
        <w:t xml:space="preserve">Results</w:t>
      </w:r>
    </w:p>
    <w:bookmarkStart w:id="85" w:name="participants-1"/>
    <w:p>
      <w:pPr>
        <w:pStyle w:val="Heading2"/>
      </w:pPr>
      <w:r>
        <w:t xml:space="preserve">Participants</w:t>
      </w:r>
    </w:p>
    <w:bookmarkStart w:id="76" w:name="participant-flow-diagram-1"/>
    <w:p>
      <w:pPr>
        <w:pStyle w:val="Heading3"/>
      </w:pPr>
      <w:hyperlink r:id="rId75">
        <w:r>
          <w:rPr>
            <w:rStyle w:val="Hyperlink"/>
          </w:rPr>
          <w:t xml:space="preserve">19. Participant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Flow of participants, using a diagram.</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Start w:id="78" w:name="baseline-characteristics-1"/>
    <w:p>
      <w:pPr>
        <w:pStyle w:val="Heading3"/>
      </w:pPr>
      <w:hyperlink r:id="rId77">
        <w:r>
          <w:rPr>
            <w:rStyle w:val="Hyperlink"/>
          </w:rPr>
          <w:t xml:space="preserve">20. Baseline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Baseline demographic and clinical characteristics of participants.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8"/>
    <w:bookmarkStart w:id="80" w:name="X5bac33b43207e86be8120bb08f7f5ec2412435c"/>
    <w:p>
      <w:pPr>
        <w:pStyle w:val="Heading3"/>
      </w:pPr>
      <w:hyperlink r:id="rId79">
        <w:r>
          <w:rPr>
            <w:rStyle w:val="Hyperlink"/>
          </w:rPr>
          <w:t xml:space="preserve">21a. Participants with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severity of disease in those with the target condition.</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0"/>
    <w:bookmarkStart w:id="82" w:name="Xdad6ff80ea928b9a1614db65b84734b6315680a"/>
    <w:p>
      <w:pPr>
        <w:pStyle w:val="Heading3"/>
      </w:pPr>
      <w:hyperlink r:id="rId81">
        <w:r>
          <w:rPr>
            <w:rStyle w:val="Hyperlink"/>
          </w:rPr>
          <w:t xml:space="preserve">21b. Participants without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alternative diagnoses in those without the target condition.</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2"/>
    <w:bookmarkStart w:id="84" w:name="time-interval-1"/>
    <w:p>
      <w:pPr>
        <w:pStyle w:val="Heading3"/>
      </w:pPr>
      <w:hyperlink r:id="rId83">
        <w:r>
          <w:rPr>
            <w:rStyle w:val="Hyperlink"/>
          </w:rPr>
          <w:t xml:space="preserve">22. Time interval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Time interval and any clinical interventions between index test and reference standard.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4"/>
    <w:bookmarkEnd w:id="85"/>
    <w:bookmarkStart w:id="92" w:name="test-results"/>
    <w:p>
      <w:pPr>
        <w:pStyle w:val="Heading2"/>
      </w:pPr>
      <w:r>
        <w:t xml:space="preserve">Test Results</w:t>
      </w:r>
    </w:p>
    <w:bookmarkStart w:id="87" w:name="Xbc4647206445f7961bbb6aeb4d451d4c6fe5b49"/>
    <w:p>
      <w:pPr>
        <w:pStyle w:val="Heading3"/>
      </w:pPr>
      <w:hyperlink r:id="rId86">
        <w:r>
          <w:rPr>
            <w:rStyle w:val="Hyperlink"/>
          </w:rPr>
          <w:t xml:space="preserve">23. Index test and reference standard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Cross tabulation of the index test results (or their distribution) by the results of the reference standard.</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7"/>
    <w:bookmarkStart w:id="89" w:name="estimates-of-accuracy-1"/>
    <w:p>
      <w:pPr>
        <w:pStyle w:val="Heading3"/>
      </w:pPr>
      <w:hyperlink r:id="rId88">
        <w:r>
          <w:rPr>
            <w:rStyle w:val="Hyperlink"/>
          </w:rPr>
          <w:t xml:space="preserve">24. Estimates of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Estimates of diagnostic accuracy and their precision (such as 95% CIs).</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9"/>
    <w:bookmarkStart w:id="91" w:name="adverse-events-1"/>
    <w:p>
      <w:pPr>
        <w:pStyle w:val="Heading3"/>
      </w:pPr>
      <w:hyperlink r:id="rId90">
        <w:r>
          <w:rPr>
            <w:rStyle w:val="Hyperlink"/>
          </w:rPr>
          <w:t xml:space="preserve">25.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adverse events from performing the index test or the reference standard.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1"/>
    <w:bookmarkEnd w:id="92"/>
    <w:bookmarkEnd w:id="93"/>
    <w:bookmarkStart w:id="98" w:name="discussion"/>
    <w:p>
      <w:pPr>
        <w:pStyle w:val="Heading1"/>
      </w:pPr>
      <w:r>
        <w:t xml:space="preserve">Discussion</w:t>
      </w:r>
    </w:p>
    <w:bookmarkStart w:id="95" w:name="limitations-1"/>
    <w:p>
      <w:pPr>
        <w:pStyle w:val="Heading2"/>
      </w:pPr>
      <w:hyperlink r:id="rId94">
        <w:r>
          <w:rPr>
            <w:rStyle w:val="Hyperlink"/>
          </w:rPr>
          <w:t xml:space="preserve">26.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limitations, including sources of potential bias, statistical uncertainty and generalisability.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implications-for-practice-1"/>
    <w:p>
      <w:pPr>
        <w:pStyle w:val="Heading2"/>
      </w:pPr>
      <w:hyperlink r:id="rId96">
        <w:r>
          <w:rPr>
            <w:rStyle w:val="Hyperlink"/>
          </w:rPr>
          <w:t xml:space="preserve">27. Implications for Practice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Implications for practice, including the intended use and clinical role of the index test.</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5" w:name="other-information"/>
    <w:p>
      <w:pPr>
        <w:pStyle w:val="Heading1"/>
      </w:pPr>
      <w:r>
        <w:t xml:space="preserve">Other information</w:t>
      </w:r>
    </w:p>
    <w:bookmarkStart w:id="100" w:name="registration-1"/>
    <w:p>
      <w:pPr>
        <w:pStyle w:val="Heading2"/>
      </w:pPr>
      <w:hyperlink r:id="rId99">
        <w:r>
          <w:rPr>
            <w:rStyle w:val="Hyperlink"/>
          </w:rPr>
          <w:t xml:space="preserve">28.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Registration number and name of registry.</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protocol-1"/>
    <w:p>
      <w:pPr>
        <w:pStyle w:val="Heading2"/>
      </w:pPr>
      <w:hyperlink r:id="rId101">
        <w:r>
          <w:rPr>
            <w:rStyle w:val="Hyperlink"/>
          </w:rPr>
          <w:t xml:space="preserve">29.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the full study protocol can be accessed.</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Start w:id="104" w:name="funding-1"/>
    <w:p>
      <w:pPr>
        <w:pStyle w:val="Heading2"/>
      </w:pPr>
      <w:hyperlink r:id="rId103">
        <w:r>
          <w:rPr>
            <w:rStyle w:val="Hyperlink"/>
          </w:rPr>
          <w:t xml:space="preserve">30.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Sources of funding and other support; role of funders.</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4"/>
    <w:bookmarkEnd w:id="105"/>
    <w:bookmarkStart w:id="111" w:name="sec-cite"/>
    <w:p>
      <w:pPr>
        <w:pStyle w:val="Heading2"/>
      </w:pPr>
      <w:r>
        <w:t xml:space="preserve">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10" w:name="refs"/>
    <w:bookmarkStart w:id="107"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106">
        <w:r>
          <w:rPr>
            <w:rStyle w:val="Hyperlink"/>
          </w:rPr>
          <w:t xml:space="preserve">https://www.bmj.com/content/351/bmj.h5527</w:t>
        </w:r>
      </w:hyperlink>
    </w:p>
    <w:bookmarkEnd w:id="107"/>
    <w:bookmarkStart w:id="109"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108">
        <w:r>
          <w:rPr>
            <w:rStyle w:val="Hyperlink"/>
          </w:rPr>
          <w:t xml:space="preserve">https:/resources.equator-network.org/guidelines/stard/stard-checklist.docx</w:t>
        </w:r>
      </w:hyperlink>
    </w:p>
    <w:bookmarkEnd w:id="109"/>
    <w:bookmarkEnd w:id="110"/>
    <w:bookmarkEnd w:id="11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8" Target="https://https:/resources.equator-network.org/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9" Target="https:/resources.equator-network.org/guidelines/stard/items/abstract.html" TargetMode="External" /><Relationship Type="http://schemas.openxmlformats.org/officeDocument/2006/relationships/hyperlink" Id="rId90" Target="https:/resources.equator-network.org/guidelines/stard/items/adverse-events.html" TargetMode="External" /><Relationship Type="http://schemas.openxmlformats.org/officeDocument/2006/relationships/hyperlink" Id="rId63" Target="https:/resources.equator-network.org/guidelines/stard/items/analysis-methods.html" TargetMode="External" /><Relationship Type="http://schemas.openxmlformats.org/officeDocument/2006/relationships/hyperlink" Id="rId32" Target="https:/resources.equator-network.org/guidelines/stard/items/background.html" TargetMode="External" /><Relationship Type="http://schemas.openxmlformats.org/officeDocument/2006/relationships/hyperlink" Id="rId77" Target="https:/resources.equator-network.org/guidelines/stard/items/baseline-characteristics.html" TargetMode="External" /><Relationship Type="http://schemas.openxmlformats.org/officeDocument/2006/relationships/hyperlink" Id="rId45" Target="https:/resources.equator-network.org/guidelines/stard/items/consecutive-random-convenience-series.html" TargetMode="External" /><Relationship Type="http://schemas.openxmlformats.org/officeDocument/2006/relationships/hyperlink" Id="rId39" Target="https:/resources.equator-network.org/guidelines/stard/items/eligibility-criteria.html" TargetMode="External" /><Relationship Type="http://schemas.openxmlformats.org/officeDocument/2006/relationships/hyperlink" Id="rId88" Target="https:/resources.equator-network.org/guidelines/stard/items/estimates-of-accuracy.html" TargetMode="External" /><Relationship Type="http://schemas.openxmlformats.org/officeDocument/2006/relationships/hyperlink" Id="rId75" Target="https:/resources.equator-network.org/guidelines/stard/items/flow-diagram.html" TargetMode="External" /><Relationship Type="http://schemas.openxmlformats.org/officeDocument/2006/relationships/hyperlink" Id="rId103"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41" Target="https:/resources.equator-network.org/guidelines/stard/items/identifying-eligible-participants.html" TargetMode="External" /><Relationship Type="http://schemas.openxmlformats.org/officeDocument/2006/relationships/hyperlink" Id="rId96" Target="https:/resources.equator-network.org/guidelines/stard/items/implications-for-practice.html" TargetMode="External" /><Relationship Type="http://schemas.openxmlformats.org/officeDocument/2006/relationships/hyperlink" Id="rId65" Target="https:/resources.equator-network.org/guidelines/stard/items/indeterminate-results.html" TargetMode="External" /><Relationship Type="http://schemas.openxmlformats.org/officeDocument/2006/relationships/hyperlink" Id="rId86" Target="https:/resources.equator-network.org/guidelines/stard/items/index-reference-results.html" TargetMode="External" /><Relationship Type="http://schemas.openxmlformats.org/officeDocument/2006/relationships/hyperlink" Id="rId54" Target="https:/resources.equator-network.org/guidelines/stard/items/index-test-cut-offs-categories.html" TargetMode="External" /><Relationship Type="http://schemas.openxmlformats.org/officeDocument/2006/relationships/hyperlink" Id="rId48" Target="https:/resources.equator-network.org/guidelines/stard/items/index-test.html" TargetMode="External" /><Relationship Type="http://schemas.openxmlformats.org/officeDocument/2006/relationships/hyperlink" Id="rId58" Target="https:/resources.equator-network.org/guidelines/stard/items/information-available-index.html" TargetMode="External" /><Relationship Type="http://schemas.openxmlformats.org/officeDocument/2006/relationships/hyperlink" Id="rId60" Target="https:/resources.equator-network.org/guidelines/stard/items/information-available-reference.html" TargetMode="External" /><Relationship Type="http://schemas.openxmlformats.org/officeDocument/2006/relationships/hyperlink" Id="rId71" Target="https:/resources.equator-network.org/guidelines/stard/items/intended-sample-size.html" TargetMode="External" /><Relationship Type="http://schemas.openxmlformats.org/officeDocument/2006/relationships/hyperlink" Id="rId94" Target="https:/resources.equator-network.org/guidelines/stard/items/limitations.html" TargetMode="External" /><Relationship Type="http://schemas.openxmlformats.org/officeDocument/2006/relationships/hyperlink" Id="rId67" Target="https:/resources.equator-network.org/guidelines/stard/items/missing-data.html" TargetMode="External" /><Relationship Type="http://schemas.openxmlformats.org/officeDocument/2006/relationships/hyperlink" Id="rId34" Target="https:/resources.equator-network.org/guidelines/stard/items/objectives.html" TargetMode="External" /><Relationship Type="http://schemas.openxmlformats.org/officeDocument/2006/relationships/hyperlink" Id="rId79" Target="https:/resources.equator-network.org/guidelines/stard/items/participants-with-target-condition.html" TargetMode="External" /><Relationship Type="http://schemas.openxmlformats.org/officeDocument/2006/relationships/hyperlink" Id="rId81" Target="https:/resources.equator-network.org/guidelines/stard/items/participants-without-target-condition.html" TargetMode="External" /><Relationship Type="http://schemas.openxmlformats.org/officeDocument/2006/relationships/hyperlink" Id="rId101" Target="https:/resources.equator-network.org/guidelines/stard/items/protocol.html" TargetMode="External" /><Relationship Type="http://schemas.openxmlformats.org/officeDocument/2006/relationships/hyperlink" Id="rId56" Target="https:/resources.equator-network.org/guidelines/stard/items/reference-standard-cut-offs-categories.html" TargetMode="External" /><Relationship Type="http://schemas.openxmlformats.org/officeDocument/2006/relationships/hyperlink" Id="rId52" Target="https:/resources.equator-network.org/guidelines/stard/items/reference-standard-rationale.html" TargetMode="External" /><Relationship Type="http://schemas.openxmlformats.org/officeDocument/2006/relationships/hyperlink" Id="rId50" Target="https:/resources.equator-network.org/guidelines/stard/items/reference-standard.html" TargetMode="External" /><Relationship Type="http://schemas.openxmlformats.org/officeDocument/2006/relationships/hyperlink" Id="rId99" Target="https:/resources.equator-network.org/guidelines/stard/items/registration.html" TargetMode="External" /><Relationship Type="http://schemas.openxmlformats.org/officeDocument/2006/relationships/hyperlink" Id="rId43" Target="https:/resources.equator-network.org/guidelines/stard/items/setting-location-dates.html" TargetMode="External" /><Relationship Type="http://schemas.openxmlformats.org/officeDocument/2006/relationships/hyperlink" Id="rId37" Target="https:/resources.equator-network.org/guidelines/stard/items/study-design.html" TargetMode="External" /><Relationship Type="http://schemas.openxmlformats.org/officeDocument/2006/relationships/hyperlink" Id="rId83" Target="https:/resources.equator-network.org/guidelines/stard/items/time-interval.html" TargetMode="External" /><Relationship Type="http://schemas.openxmlformats.org/officeDocument/2006/relationships/hyperlink" Id="rId69" Target="https:/resources.equator-network.org/guidelines/stard/items/variability.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08" Target="https://https:/resources.equator-network.org/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9" Target="https:/resources.equator-network.org/guidelines/stard/items/abstract.html" TargetMode="External" /><Relationship Type="http://schemas.openxmlformats.org/officeDocument/2006/relationships/hyperlink" Id="rId90" Target="https:/resources.equator-network.org/guidelines/stard/items/adverse-events.html" TargetMode="External" /><Relationship Type="http://schemas.openxmlformats.org/officeDocument/2006/relationships/hyperlink" Id="rId63" Target="https:/resources.equator-network.org/guidelines/stard/items/analysis-methods.html" TargetMode="External" /><Relationship Type="http://schemas.openxmlformats.org/officeDocument/2006/relationships/hyperlink" Id="rId32" Target="https:/resources.equator-network.org/guidelines/stard/items/background.html" TargetMode="External" /><Relationship Type="http://schemas.openxmlformats.org/officeDocument/2006/relationships/hyperlink" Id="rId77" Target="https:/resources.equator-network.org/guidelines/stard/items/baseline-characteristics.html" TargetMode="External" /><Relationship Type="http://schemas.openxmlformats.org/officeDocument/2006/relationships/hyperlink" Id="rId45" Target="https:/resources.equator-network.org/guidelines/stard/items/consecutive-random-convenience-series.html" TargetMode="External" /><Relationship Type="http://schemas.openxmlformats.org/officeDocument/2006/relationships/hyperlink" Id="rId39" Target="https:/resources.equator-network.org/guidelines/stard/items/eligibility-criteria.html" TargetMode="External" /><Relationship Type="http://schemas.openxmlformats.org/officeDocument/2006/relationships/hyperlink" Id="rId88" Target="https:/resources.equator-network.org/guidelines/stard/items/estimates-of-accuracy.html" TargetMode="External" /><Relationship Type="http://schemas.openxmlformats.org/officeDocument/2006/relationships/hyperlink" Id="rId75" Target="https:/resources.equator-network.org/guidelines/stard/items/flow-diagram.html" TargetMode="External" /><Relationship Type="http://schemas.openxmlformats.org/officeDocument/2006/relationships/hyperlink" Id="rId103"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41" Target="https:/resources.equator-network.org/guidelines/stard/items/identifying-eligible-participants.html" TargetMode="External" /><Relationship Type="http://schemas.openxmlformats.org/officeDocument/2006/relationships/hyperlink" Id="rId96" Target="https:/resources.equator-network.org/guidelines/stard/items/implications-for-practice.html" TargetMode="External" /><Relationship Type="http://schemas.openxmlformats.org/officeDocument/2006/relationships/hyperlink" Id="rId65" Target="https:/resources.equator-network.org/guidelines/stard/items/indeterminate-results.html" TargetMode="External" /><Relationship Type="http://schemas.openxmlformats.org/officeDocument/2006/relationships/hyperlink" Id="rId86" Target="https:/resources.equator-network.org/guidelines/stard/items/index-reference-results.html" TargetMode="External" /><Relationship Type="http://schemas.openxmlformats.org/officeDocument/2006/relationships/hyperlink" Id="rId54" Target="https:/resources.equator-network.org/guidelines/stard/items/index-test-cut-offs-categories.html" TargetMode="External" /><Relationship Type="http://schemas.openxmlformats.org/officeDocument/2006/relationships/hyperlink" Id="rId48" Target="https:/resources.equator-network.org/guidelines/stard/items/index-test.html" TargetMode="External" /><Relationship Type="http://schemas.openxmlformats.org/officeDocument/2006/relationships/hyperlink" Id="rId58" Target="https:/resources.equator-network.org/guidelines/stard/items/information-available-index.html" TargetMode="External" /><Relationship Type="http://schemas.openxmlformats.org/officeDocument/2006/relationships/hyperlink" Id="rId60" Target="https:/resources.equator-network.org/guidelines/stard/items/information-available-reference.html" TargetMode="External" /><Relationship Type="http://schemas.openxmlformats.org/officeDocument/2006/relationships/hyperlink" Id="rId71" Target="https:/resources.equator-network.org/guidelines/stard/items/intended-sample-size.html" TargetMode="External" /><Relationship Type="http://schemas.openxmlformats.org/officeDocument/2006/relationships/hyperlink" Id="rId94" Target="https:/resources.equator-network.org/guidelines/stard/items/limitations.html" TargetMode="External" /><Relationship Type="http://schemas.openxmlformats.org/officeDocument/2006/relationships/hyperlink" Id="rId67" Target="https:/resources.equator-network.org/guidelines/stard/items/missing-data.html" TargetMode="External" /><Relationship Type="http://schemas.openxmlformats.org/officeDocument/2006/relationships/hyperlink" Id="rId34" Target="https:/resources.equator-network.org/guidelines/stard/items/objectives.html" TargetMode="External" /><Relationship Type="http://schemas.openxmlformats.org/officeDocument/2006/relationships/hyperlink" Id="rId79" Target="https:/resources.equator-network.org/guidelines/stard/items/participants-with-target-condition.html" TargetMode="External" /><Relationship Type="http://schemas.openxmlformats.org/officeDocument/2006/relationships/hyperlink" Id="rId81" Target="https:/resources.equator-network.org/guidelines/stard/items/participants-without-target-condition.html" TargetMode="External" /><Relationship Type="http://schemas.openxmlformats.org/officeDocument/2006/relationships/hyperlink" Id="rId101" Target="https:/resources.equator-network.org/guidelines/stard/items/protocol.html" TargetMode="External" /><Relationship Type="http://schemas.openxmlformats.org/officeDocument/2006/relationships/hyperlink" Id="rId56" Target="https:/resources.equator-network.org/guidelines/stard/items/reference-standard-cut-offs-categories.html" TargetMode="External" /><Relationship Type="http://schemas.openxmlformats.org/officeDocument/2006/relationships/hyperlink" Id="rId52" Target="https:/resources.equator-network.org/guidelines/stard/items/reference-standard-rationale.html" TargetMode="External" /><Relationship Type="http://schemas.openxmlformats.org/officeDocument/2006/relationships/hyperlink" Id="rId50" Target="https:/resources.equator-network.org/guidelines/stard/items/reference-standard.html" TargetMode="External" /><Relationship Type="http://schemas.openxmlformats.org/officeDocument/2006/relationships/hyperlink" Id="rId99" Target="https:/resources.equator-network.org/guidelines/stard/items/registration.html" TargetMode="External" /><Relationship Type="http://schemas.openxmlformats.org/officeDocument/2006/relationships/hyperlink" Id="rId43" Target="https:/resources.equator-network.org/guidelines/stard/items/setting-location-dates.html" TargetMode="External" /><Relationship Type="http://schemas.openxmlformats.org/officeDocument/2006/relationships/hyperlink" Id="rId37" Target="https:/resources.equator-network.org/guidelines/stard/items/study-design.html" TargetMode="External" /><Relationship Type="http://schemas.openxmlformats.org/officeDocument/2006/relationships/hyperlink" Id="rId83" Target="https:/resources.equator-network.org/guidelines/stard/items/time-interval.html" TargetMode="External" /><Relationship Type="http://schemas.openxmlformats.org/officeDocument/2006/relationships/hyperlink" Id="rId69" Target="https:/resources.equator-network.org/guidelines/stard/items/variability.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guideline writing guide</dc:title>
  <dc:creator/>
  <cp:keywords/>
  <dcterms:created xsi:type="dcterms:W3CDTF">2025-04-16T14:48:31Z</dcterms:created>
  <dcterms:modified xsi:type="dcterms:W3CDTF">2025-04-16T14:48:31Z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diagnostic accuracy study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