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106">
        <w:r>
          <w:rPr>
            <w:rStyle w:val="Hyperlink"/>
          </w:rPr>
          <w:t xml:space="preserve">https://www.bmj.com/content/351/bmj.h5527</w:t>
        </w:r>
      </w:hyperlink>
    </w:p>
    <w:bookmarkEnd w:id="107"/>
    <w:bookmarkStart w:id="109"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108">
        <w:r>
          <w:rPr>
            <w:rStyle w:val="Hyperlink"/>
          </w:rPr>
          <w:t xml:space="preserve">https:/resources.equator-network.org/guidelines/stard/stard-checklist.docx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resources.equator-network.org/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resources.equator-network.org/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2025-04-17T13:50:57Z</dcterms:created>
  <dcterms:modified xsi:type="dcterms:W3CDTF">2025-04-17T13:50:57Z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diagnostic accuracy study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