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35"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 We may all ask this question at some point in our lives.</w:t>
      </w:r>
    </w:p>
    <w:p>
      <w:pPr>
        <w:pStyle w:val="BodyText"/>
      </w:pPr>
      <w:r>
        <w:t xml:space="preserve">When I started my PhD, the world was in the grip of COVID-19. A deluge of research ensued #REF, but because much of it was poorly reported #REF, governments and clinicians had to make decisions without inaccessible information. In the years since, my loved ones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is that my family and friends finally understand the problem my PhD thesis tries to address: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could the data they needed within research reports. For example, in 1963 Glick</w:t>
      </w:r>
      <w:r>
        <w:t xml:space="preserve"> </w:t>
      </w:r>
      <w:r>
        <w:t xml:space="preserve">[1]</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trials because of poorly described methods, thereby limiting the confidence of conclusions</w:t>
      </w:r>
      <w:r>
        <w:t xml:space="preserve"> </w:t>
      </w:r>
      <w:r>
        <w:t xml:space="preserve">[2]</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[3]</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[4]</w:t>
      </w:r>
      <w:r>
        <w:t xml:space="preserve">. As Feinstein noted in 1974</w:t>
      </w:r>
      <w:r>
        <w:t xml:space="preserve"> </w:t>
      </w:r>
      <w:r>
        <w:t xml:space="preserve">[5]</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[6]</w:t>
      </w:r>
      <w:r>
        <w:t xml:space="preserve"> </w:t>
      </w:r>
      <w:r>
        <w:t xml:space="preserve">reviewed trials describing exercise interventions for chronic back pain and found authors often did not describe their materials, infrastructure, or training, making it impossible for other healthcare providers to offer the interventions themselves.</w:t>
      </w:r>
    </w:p>
    <w:p>
      <w:pPr>
        <w:pStyle w:val="BodyText"/>
      </w:pPr>
      <w:r>
        <w:t xml:space="preserve">These are just some of the many studies documenting poor reporting in medical literature. A 2023 systematic review found 148 published between 2020-2022 alone</w:t>
      </w:r>
      <w:r>
        <w:t xml:space="preserve"> </w:t>
      </w:r>
      <w:r>
        <w:t xml:space="preserve">[7]</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plagues all disciplines, devalues research, and derails the uptake of new knowledge into clinical practice.</w:t>
      </w:r>
    </w:p>
    <w:bookmarkStart w:id="34" w:name="refs"/>
    <w:bookmarkStart w:id="21" w:name="Xb247311f124d5b50fbaa44c342a49809750f5a9"/>
    <w:p>
      <w:pPr>
        <w:pStyle w:val="Bibliography"/>
      </w:pPr>
      <w:r>
        <w:t xml:space="preserve">1.</w:t>
      </w:r>
      <w:r>
        <w:t xml:space="preserve"> </w:t>
      </w:r>
      <w:r>
        <w:t xml:space="preserve">	</w:t>
      </w:r>
      <w:r>
        <w:t xml:space="preserve">Glick BS (1963)</w:t>
      </w:r>
      <w:r>
        <w:t xml:space="preserve"> </w:t>
      </w:r>
      <w:hyperlink r:id="rId20">
        <w:r>
          <w:rPr>
            <w:rStyle w:val="Hyperlink"/>
          </w:rPr>
          <w:t xml:space="preserve">Inadequacies in the reporting of clinical drug research</w:t>
        </w:r>
      </w:hyperlink>
      <w:r>
        <w:t xml:space="preserve">. The Psychiatric Quarterly 37:234–244</w:t>
      </w:r>
    </w:p>
    <w:bookmarkEnd w:id="21"/>
    <w:bookmarkStart w:id="23"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2">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3"/>
    <w:bookmarkStart w:id="25" w:name="ref-carpSecretLivesExperiments2012"/>
    <w:p>
      <w:pPr>
        <w:pStyle w:val="Bibliography"/>
      </w:pPr>
      <w:r>
        <w:t xml:space="preserve">3.</w:t>
      </w:r>
      <w:r>
        <w:t xml:space="preserve"> </w:t>
      </w:r>
      <w:r>
        <w:t xml:space="preserve">	</w:t>
      </w:r>
      <w:r>
        <w:t xml:space="preserve">Carp J (2012)</w:t>
      </w:r>
      <w:r>
        <w:t xml:space="preserve"> </w:t>
      </w:r>
      <w:hyperlink r:id="rId24">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25"/>
    <w:bookmarkStart w:id="27" w:name="ref-glasziouWhatMissingDescriptions2008"/>
    <w:p>
      <w:pPr>
        <w:pStyle w:val="Bibliography"/>
      </w:pPr>
      <w:r>
        <w:t xml:space="preserve">4.</w:t>
      </w:r>
      <w:r>
        <w:t xml:space="preserve"> </w:t>
      </w:r>
      <w:r>
        <w:t xml:space="preserve">	</w:t>
      </w:r>
      <w:r>
        <w:t xml:space="preserve">Glasziou P, Meats E, Heneghan C, Shepperd S (2008)</w:t>
      </w:r>
      <w:r>
        <w:t xml:space="preserve"> </w:t>
      </w:r>
      <w:hyperlink r:id="rId26">
        <w:r>
          <w:rPr>
            <w:rStyle w:val="Hyperlink"/>
          </w:rPr>
          <w:t xml:space="preserve">What is missing from descriptions of treatment in trials and reviews?</w:t>
        </w:r>
      </w:hyperlink>
      <w:r>
        <w:t xml:space="preserve"> BMJ 336:1472–1474</w:t>
      </w:r>
    </w:p>
    <w:bookmarkEnd w:id="27"/>
    <w:bookmarkStart w:id="29" w:name="X1e38992eb720cb5df8e971632c764377a614cf3"/>
    <w:p>
      <w:pPr>
        <w:pStyle w:val="Bibliography"/>
      </w:pPr>
      <w:r>
        <w:t xml:space="preserve">5.</w:t>
      </w:r>
      <w:r>
        <w:t xml:space="preserve"> </w:t>
      </w:r>
      <w:r>
        <w:t xml:space="preserve">	</w:t>
      </w:r>
      <w:r>
        <w:t xml:space="preserve">Feinstein AR (1974)</w:t>
      </w:r>
      <w:r>
        <w:t xml:space="preserve"> </w:t>
      </w:r>
      <w:hyperlink r:id="rId28">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29"/>
    <w:bookmarkStart w:id="31" w:name="ref-davidsonExerciseInterventionsLow2021"/>
    <w:p>
      <w:pPr>
        <w:pStyle w:val="Bibliography"/>
      </w:pPr>
      <w:r>
        <w:t xml:space="preserve">6.</w:t>
      </w:r>
      <w:r>
        <w:t xml:space="preserve"> </w:t>
      </w:r>
      <w:r>
        <w:t xml:space="preserve">	</w:t>
      </w:r>
      <w:r>
        <w:t xml:space="preserve">Davidson SRE, Kamper SJ, Haskins R, Robson E, Gleadhill C, da Silva PV, Williams A, Yu Z, Williams CM (2021)</w:t>
      </w:r>
      <w:r>
        <w:t xml:space="preserve"> </w:t>
      </w:r>
      <w:hyperlink r:id="rId30">
        <w:r>
          <w:rPr>
            <w:rStyle w:val="Hyperlink"/>
          </w:rPr>
          <w:t xml:space="preserve">Exercise interventions for low back pain are poorly reported: A systematic review</w:t>
        </w:r>
      </w:hyperlink>
      <w:r>
        <w:t xml:space="preserve">. Journal of Clinical Epidemiology 139:279–286</w:t>
      </w:r>
    </w:p>
    <w:bookmarkEnd w:id="31"/>
    <w:bookmarkStart w:id="33" w:name="ref-santoMethodsResultsStudies2023"/>
    <w:p>
      <w:pPr>
        <w:pStyle w:val="Bibliography"/>
      </w:pPr>
      <w:r>
        <w:t xml:space="preserve">7.</w:t>
      </w:r>
      <w:r>
        <w:t xml:space="preserve"> </w:t>
      </w:r>
      <w:r>
        <w:t xml:space="preserve">	</w:t>
      </w:r>
      <w:r>
        <w:t xml:space="preserve">Santo TD, Rice DB, Amiri LSN, Tasleem A, Li K, Boruff JT, Geoffroy M-C, Benedetti A, Thombs BD (2023)</w:t>
      </w:r>
      <w:r>
        <w:t xml:space="preserve"> </w:t>
      </w:r>
      <w:hyperlink r:id="rId32">
        <w:r>
          <w:rPr>
            <w:rStyle w:val="Hyperlink"/>
          </w:rPr>
          <w:t xml:space="preserve">Methods and results of studies on reporting guideline adherence are poorly reported: A meta-research study</w:t>
        </w:r>
      </w:hyperlink>
      <w:r>
        <w:t xml:space="preserve">. Journal of Clinical Epidemiology 159:225–234</w:t>
      </w:r>
    </w:p>
    <w:bookmarkEnd w:id="33"/>
    <w:bookmarkEnd w:id="34"/>
    <w:bookmarkEnd w:id="3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2/cpt197415197" TargetMode="External" /><Relationship Type="http://schemas.openxmlformats.org/officeDocument/2006/relationships/hyperlink" Id="rId20" Target="https://doi.org/10.1007/BF01562195" TargetMode="External" /><Relationship Type="http://schemas.openxmlformats.org/officeDocument/2006/relationships/hyperlink" Id="rId30" Target="https://doi.org/10.1016/j.jclinepi.2021.05.020" TargetMode="External" /><Relationship Type="http://schemas.openxmlformats.org/officeDocument/2006/relationships/hyperlink" Id="rId32" Target="https://doi.org/10.1016/j.jclinepi.2023.05.017" TargetMode="External" /><Relationship Type="http://schemas.openxmlformats.org/officeDocument/2006/relationships/hyperlink" Id="rId24" Target="https://doi.org/10.1016/j.neuroimage.2012.07.004" TargetMode="External" /><Relationship Type="http://schemas.openxmlformats.org/officeDocument/2006/relationships/hyperlink" Id="rId26" Target="https://doi.org/10.1136/bmj.39590.732037.47" TargetMode="External" /><Relationship Type="http://schemas.openxmlformats.org/officeDocument/2006/relationships/hyperlink" Id="rId22" Target="https://doi.org/10.1136/bmj.j2490"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02/cpt197415197" TargetMode="External" /><Relationship Type="http://schemas.openxmlformats.org/officeDocument/2006/relationships/hyperlink" Id="rId20" Target="https://doi.org/10.1007/BF01562195" TargetMode="External" /><Relationship Type="http://schemas.openxmlformats.org/officeDocument/2006/relationships/hyperlink" Id="rId30" Target="https://doi.org/10.1016/j.jclinepi.2021.05.020" TargetMode="External" /><Relationship Type="http://schemas.openxmlformats.org/officeDocument/2006/relationships/hyperlink" Id="rId32" Target="https://doi.org/10.1016/j.jclinepi.2023.05.017" TargetMode="External" /><Relationship Type="http://schemas.openxmlformats.org/officeDocument/2006/relationships/hyperlink" Id="rId24" Target="https://doi.org/10.1016/j.neuroimage.2012.07.004" TargetMode="External" /><Relationship Type="http://schemas.openxmlformats.org/officeDocument/2006/relationships/hyperlink" Id="rId26" Target="https://doi.org/10.1136/bmj.39590.732037.47" TargetMode="External" /><Relationship Type="http://schemas.openxmlformats.org/officeDocument/2006/relationships/hyperlink" Id="rId22" Target="https://doi.org/10.1136/bmj.j24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2023-10-24T09:55:58Z</dcterms:created>
  <dcterms:modified xsi:type="dcterms:W3CDTF">2023-10-24T09:55:58Z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