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[2]</w:t>
      </w:r>
      <w:r>
        <w:t xml:space="preserve">;</w:t>
      </w:r>
      <w:r>
        <w:t xml:space="preserve"> </w:t>
      </w:r>
      <w:r>
        <w:t xml:space="preserve">[3]</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0"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[4]</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0"/>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[5]</w:t>
      </w:r>
      <w:r>
        <w:t xml:space="preserve">.</w:t>
      </w:r>
    </w:p>
    <w:bookmarkEnd w:id="21"/>
    <w:bookmarkStart w:id="3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Start w:id="32" w:name="refs"/>
    <w:bookmarkStart w:id="23" w:name="ref-beggImprovingQualityReporting1996"/>
    <w:p>
      <w:pPr>
        <w:pStyle w:val="Bibliography"/>
      </w:pPr>
      <w:r>
        <w:t xml:space="preserve">1.</w:t>
      </w:r>
      <w:r>
        <w:t xml:space="preserve"> </w:t>
      </w:r>
      <w:r>
        <w:t xml:space="preserve">	</w:t>
      </w:r>
      <w:r>
        <w:t xml:space="preserve">Begg C, Cho M, Eastwood S, et al (1996)</w:t>
      </w:r>
      <w:r>
        <w:t xml:space="preserve"> </w:t>
      </w:r>
      <w:hyperlink r:id="rId2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23"/>
    <w:bookmarkStart w:id="25" w:name="ref-altmanBetterReportingRandomised1996"/>
    <w:p>
      <w:pPr>
        <w:pStyle w:val="Bibliography"/>
      </w:pPr>
      <w:r>
        <w:t xml:space="preserve">2.</w:t>
      </w:r>
      <w:r>
        <w:t xml:space="preserve"> </w:t>
      </w:r>
      <w:r>
        <w:t xml:space="preserve">	</w:t>
      </w:r>
      <w:r>
        <w:t xml:space="preserve">Altman DG (1996)</w:t>
      </w:r>
      <w:r>
        <w:t xml:space="preserve"> </w:t>
      </w:r>
      <w:hyperlink r:id="rId2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25"/>
    <w:bookmarkStart w:id="27" w:name="ref-altmanRevisedCONSORTStatement2001"/>
    <w:p>
      <w:pPr>
        <w:pStyle w:val="Bibliography"/>
      </w:pPr>
      <w:r>
        <w:t xml:space="preserve">3.</w:t>
      </w:r>
      <w:r>
        <w:t xml:space="preserve"> </w:t>
      </w:r>
      <w:r>
        <w:t xml:space="preserve">	</w:t>
      </w:r>
      <w:r>
        <w:t xml:space="preserve">Altman DG, Schulz KF, Moher D, Egger M, Davidoff F, Elbourne D, Gøtzsche PC, Lang T (2001)</w:t>
      </w:r>
      <w:r>
        <w:t xml:space="preserve"> </w:t>
      </w:r>
      <w:hyperlink r:id="rId2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27"/>
    <w:bookmarkStart w:id="29" w:name="Xb2af66b68cc61fcc77a6a228f9a547405848dd7"/>
    <w:p>
      <w:pPr>
        <w:pStyle w:val="Bibliography"/>
      </w:pPr>
      <w:r>
        <w:t xml:space="preserve">4.</w:t>
      </w:r>
      <w:r>
        <w:t xml:space="preserve"> </w:t>
      </w:r>
      <w:r>
        <w:t xml:space="preserve">	</w:t>
      </w:r>
      <w:r>
        <w:t xml:space="preserve">O’Brien BC, Harris IB, Beckman TJ, Reed DA, Cook DA (2014)</w:t>
      </w:r>
      <w:r>
        <w:t xml:space="preserve"> </w:t>
      </w:r>
      <w:hyperlink r:id="rId2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29"/>
    <w:bookmarkStart w:id="31" w:name="ref-caulleyCitationImpactWas2020"/>
    <w:p>
      <w:pPr>
        <w:pStyle w:val="Bibliography"/>
      </w:pPr>
      <w:r>
        <w:t xml:space="preserve">5.</w:t>
      </w:r>
      <w:r>
        <w:t xml:space="preserve"> </w:t>
      </w:r>
      <w:r>
        <w:t xml:space="preserve">	</w:t>
      </w:r>
      <w:r>
        <w:t xml:space="preserve">Caulley L, Cheng W, Catalá-López F, Whelan J, Khoury M, Ferraro J, Husereau D, Altman DG, Moher D (2020)</w:t>
      </w:r>
      <w:r>
        <w:t xml:space="preserve"> </w:t>
      </w:r>
      <w:hyperlink r:id="rId30">
        <w:r>
          <w:rPr>
            <w:rStyle w:val="Hyperlink"/>
          </w:rPr>
          <w:t xml:space="preserve">Citation impact was highly variable for reporting guidelines of health research: A citation analysis</w:t>
        </w:r>
      </w:hyperlink>
      <w:r>
        <w:t xml:space="preserve">. Journal of Clinical Epidemiology 127:96–104</w:t>
      </w:r>
    </w:p>
    <w:bookmarkEnd w:id="31"/>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2023-12-22T18:23:39Z</dcterms:created>
  <dcterms:modified xsi:type="dcterms:W3CDTF">2023-12-22T18:23:39Z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