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w:t>
      </w:r>
      <w:r>
        <w:rPr>
          <w:bCs/>
          <w:b/>
        </w:rPr>
        <w:t xml:space="preserve">altmanBetterReportingRandomised1996?</w:t>
      </w:r>
      <w:r>
        <w:t xml:space="preserve">]</w:t>
      </w:r>
      <w:r>
        <w:t xml:space="preserve">;</w:t>
      </w:r>
      <w:r>
        <w:t xml:space="preserve"> </w:t>
      </w:r>
      <w:r>
        <w:t xml:space="preserve">[2]</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bookmarkStart w:id="20" w:name="tbl-rgs"/>
    <w:p>
      <w:pPr>
        <w:pStyle w:val="TableCaption"/>
      </w:pPr>
      <w:r>
        <w:t xml:space="preserve">Table 1: A selection of highly cited reporting guidelines</w:t>
      </w:r>
    </w:p>
    <w:tbl>
      <w:tblPr>
        <w:tblStyle w:val="Table"/>
        <w:tblW w:type="pct" w:w="4921"/>
        <w:tblLook w:firstRow="1" w:lastRow="0" w:firstColumn="0" w:lastColumn="0" w:noHBand="0" w:noVBand="0" w:val="0020"/>
        <w:jc w:val="start"/>
        <w:tblCaption w:val="Table 1: A selection of highly cited reporting guidelines"/>
      </w:tblPr>
      <w:tblGrid>
        <w:gridCol w:w="1110"/>
        <w:gridCol w:w="1236"/>
        <w:gridCol w:w="1039"/>
        <w:gridCol w:w="842"/>
        <w:gridCol w:w="483"/>
        <w:gridCol w:w="698"/>
        <w:gridCol w:w="967"/>
        <w:gridCol w:w="483"/>
        <w:gridCol w:w="931"/>
      </w:tblGrid>
      <w:tr>
        <w:trPr>
          <w:tblHeader w:val="true"/>
        </w:trPr>
        <w:tc>
          <w:tcPr/>
          <w:p>
            <w:pPr>
              <w:pStyle w:val="Compact"/>
              <w:jc w:val="left"/>
            </w:pPr>
            <w:r>
              <w:t xml:space="preserve">Guideline acronym</w:t>
            </w:r>
          </w:p>
        </w:tc>
        <w:tc>
          <w:tcPr/>
          <w:p>
            <w:pPr>
              <w:pStyle w:val="Compact"/>
              <w:jc w:val="left"/>
            </w:pPr>
            <w:r>
              <w:t xml:space="preserve">Definition</w:t>
            </w:r>
          </w:p>
        </w:tc>
        <w:tc>
          <w:tcPr/>
          <w:p>
            <w:pPr>
              <w:pStyle w:val="Compact"/>
              <w:jc w:val="left"/>
            </w:pPr>
            <w:r>
              <w:t xml:space="preserve">Applicable study type</w:t>
            </w:r>
          </w:p>
        </w:tc>
        <w:tc>
          <w:tcPr/>
          <w:p>
            <w:pPr>
              <w:pStyle w:val="Compact"/>
              <w:jc w:val="left"/>
            </w:pPr>
            <w:r>
              <w:t xml:space="preserve">Publication year</w:t>
            </w:r>
          </w:p>
        </w:tc>
        <w:tc>
          <w:tcPr/>
          <w:p>
            <w:pPr>
              <w:pStyle w:val="Compact"/>
              <w:jc w:val="left"/>
            </w:pPr>
            <w:r>
              <w:t xml:space="preserve">Has development article?</w:t>
            </w:r>
          </w:p>
        </w:tc>
        <w:tc>
          <w:tcPr/>
          <w:p>
            <w:pPr>
              <w:pStyle w:val="Compact"/>
              <w:jc w:val="left"/>
            </w:pPr>
            <w:r>
              <w:t xml:space="preserve">Has checklist that can be filled in?</w:t>
            </w:r>
          </w:p>
        </w:tc>
        <w:tc>
          <w:tcPr/>
          <w:p>
            <w:pPr>
              <w:pStyle w:val="Compact"/>
              <w:jc w:val="left"/>
            </w:pPr>
            <w:r>
              <w:t xml:space="preserve">Has explanatory document?</w:t>
            </w:r>
          </w:p>
        </w:tc>
        <w:tc>
          <w:tcPr/>
          <w:p>
            <w:pPr>
              <w:pStyle w:val="Compact"/>
              <w:jc w:val="left"/>
            </w:pPr>
            <w:r>
              <w:t xml:space="preserve">Other resources</w:t>
            </w:r>
          </w:p>
        </w:tc>
        <w:tc>
          <w:tcPr/>
          <w:p>
            <w:pPr>
              <w:pStyle w:val="Compact"/>
              <w:jc w:val="left"/>
            </w:pPr>
            <w:r>
              <w:t xml:space="preserve">Does it aim to influence designing?</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[3]</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[4]</w:t>
      </w:r>
      <w:r>
        <w:t xml:space="preserve">.</w:t>
      </w:r>
    </w:p>
    <w:bookmarkEnd w:id="21"/>
    <w:bookmarkStart w:id="31" w:name="Xd4f865e36876da86c1df8edefe8f09839ad93ca"/>
    <w:p>
      <w:pPr>
        <w:pStyle w:val="Heading2"/>
      </w:pPr>
      <w:r>
        <w:t xml:space="preserve">EQUATOR: uniting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30"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altmanRevisedCONSORTStatement2001"/>
    <w:p>
      <w:pPr>
        <w:pStyle w:val="Bibliography"/>
      </w:pPr>
      <w:r>
        <w:t xml:space="preserve">2.</w:t>
      </w:r>
      <w:r>
        <w:t xml:space="preserve"> </w:t>
      </w:r>
      <w:r>
        <w:t xml:space="preserve">	</w:t>
      </w:r>
      <w:r>
        <w:t xml:space="preserve">Altman DG, Schulz KF, Moher D, Egger M, Davidoff F, Elbourne D, Gøtzsche PC, Lang T (2001)</w:t>
      </w:r>
      <w:r>
        <w:t xml:space="preserve"> </w:t>
      </w:r>
      <w:hyperlink r:id="rId24">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25"/>
    <w:bookmarkStart w:id="27" w:name="ref-obrien2014"/>
    <w:p>
      <w:pPr>
        <w:pStyle w:val="Bibliography"/>
      </w:pPr>
      <w:r>
        <w:t xml:space="preserve">3.</w:t>
      </w:r>
      <w:r>
        <w:t xml:space="preserve"> </w:t>
      </w:r>
      <w:r>
        <w:t xml:space="preserve">	</w:t>
      </w:r>
      <w:r>
        <w:t xml:space="preserve">O’Brien BC, Harris IB, Beckman TJ, Reed DA, Cook DA (2014)</w:t>
      </w:r>
      <w:r>
        <w:t xml:space="preserve"> </w:t>
      </w:r>
      <w:hyperlink r:id="rId26">
        <w:r>
          <w:rPr>
            <w:rStyle w:val="Hyperlink"/>
          </w:rPr>
          <w:t xml:space="preserve">Standards for reporting qualitative research: A synthesis of recommendations</w:t>
        </w:r>
      </w:hyperlink>
      <w:r>
        <w:t xml:space="preserve">. Academic Medicine 89:12451251</w:t>
      </w:r>
    </w:p>
    <w:bookmarkEnd w:id="27"/>
    <w:bookmarkStart w:id="29" w:name="ref-caulleyCitationImpactWas2020"/>
    <w:p>
      <w:pPr>
        <w:pStyle w:val="Bibliography"/>
      </w:pPr>
      <w:r>
        <w:t xml:space="preserve">4.</w:t>
      </w:r>
      <w:r>
        <w:t xml:space="preserve"> </w:t>
      </w:r>
      <w:r>
        <w:t xml:space="preserve">	</w:t>
      </w:r>
      <w:r>
        <w:t xml:space="preserve">Caulley L, Cheng W, Catalá-López F, Whelan J, Khoury M, Ferraro J, Husereau D, Altman DG, Moher D (2020)</w:t>
      </w:r>
      <w:r>
        <w:t xml:space="preserve"> </w:t>
      </w:r>
      <w:hyperlink r:id="rId28">
        <w:r>
          <w:rPr>
            <w:rStyle w:val="Hyperlink"/>
          </w:rPr>
          <w:t xml:space="preserve">Citation impact was highly variable for reporting guidelines of health research: A citation analysis</w:t>
        </w:r>
      </w:hyperlink>
      <w:r>
        <w:t xml:space="preserve">. Journal of Clinical Epidemiology 127:96–104</w:t>
      </w:r>
    </w:p>
    <w:bookmarkEnd w:id="29"/>
    <w:bookmarkEnd w:id="30"/>
    <w:bookmarkEnd w:id="3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28" Target="https://doi.org/10.1016/j.jclinepi.2020.07.013" TargetMode="External" /><Relationship Type="http://schemas.openxmlformats.org/officeDocument/2006/relationships/hyperlink" Id="rId26" Target="https://doi.org/10.1097/ACM.0000000000000388" TargetMode="External" /><Relationship Type="http://schemas.openxmlformats.org/officeDocument/2006/relationships/hyperlink" Id="rId24"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28" Target="https://doi.org/10.1016/j.jclinepi.2020.07.013" TargetMode="External" /><Relationship Type="http://schemas.openxmlformats.org/officeDocument/2006/relationships/hyperlink" Id="rId26" Target="https://doi.org/10.1097/ACM.0000000000000388" TargetMode="External" /><Relationship Type="http://schemas.openxmlformats.org/officeDocument/2006/relationships/hyperlink" Id="rId24"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2023-10-24T10:03:25Z</dcterms:created>
  <dcterms:modified xsi:type="dcterms:W3CDTF">2023-10-24T10:03:25Z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