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8" w:name="X63fa3e068909215e9013bb321f29015d98538ba"/>
    <w:p>
      <w:pPr>
        <w:pStyle w:val="Heading2"/>
      </w:pPr>
      <w:r>
        <w:t xml:space="preserve">An organic,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w:t>
      </w:r>
      <w:r>
        <w:t xml:space="preserve">. Concerned editors sought ways to adopt reporting guidelines, and more and more journals</w:t>
      </w:r>
      <w:r>
        <w:t xml:space="preserve"> </w:t>
      </w:r>
      <w:r>
        <w:t xml:space="preserve">[2]</w:t>
      </w:r>
      <w:r>
        <w:t xml:space="preserve">;</w:t>
      </w:r>
      <w:r>
        <w:t xml:space="preserve"> </w:t>
      </w:r>
      <w:r>
        <w:t xml:space="preserve">[3]</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1</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[4]</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2</w:t>
        </w:r>
      </w:hyperlink>
      <w:r>
        <w:t xml:space="preserve">.</w:t>
      </w:r>
    </w:p>
    <w:bookmarkStart w:id="21" w:name="tbl-complexity"/>
    <w:p>
      <w:pPr>
        <w:pStyle w:val="TableCaption"/>
      </w:pPr>
      <w:r>
        <w:t xml:space="preserve">Table 2: Sources of complexity within reporting guidelines and the system drives their use.</w:t>
      </w:r>
    </w:p>
    <w:tbl>
      <w:tblPr>
        <w:tblStyle w:val="Table"/>
        <w:tblW w:type="pct" w:w="5000"/>
        <w:tblLook w:firstRow="1" w:lastRow="0" w:firstColumn="0" w:lastColumn="0" w:noHBand="0" w:noVBand="0" w:val="0020"/>
        <w:jc w:val="start"/>
        <w:tblCaption w:val="Table 2: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1"/>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Start w:id="27" w:name="refs"/>
    <w:bookmarkStart w:id="22" w:name="ref-ICMJERecommendationsPreparing"/>
    <w:p>
      <w:pPr>
        <w:pStyle w:val="Bibliography"/>
      </w:pPr>
      <w:r>
        <w:t xml:space="preserve">1.</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22"/>
    <w:bookmarkStart w:id="24" w:name="ref-kochExplicitMentioningReporting2016"/>
    <w:p>
      <w:pPr>
        <w:pStyle w:val="Bibliography"/>
      </w:pPr>
      <w:r>
        <w:t xml:space="preserve">2.</w:t>
      </w:r>
      <w:r>
        <w:t xml:space="preserve"> </w:t>
      </w:r>
      <w:r>
        <w:t xml:space="preserve">	</w:t>
      </w:r>
      <w:r>
        <w:t xml:space="preserve">Koch M, Riss P, Umek W, Hanzal E (2016)</w:t>
      </w:r>
      <w:r>
        <w:t xml:space="preserve"> </w:t>
      </w:r>
      <w:hyperlink r:id="rId2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24"/>
    <w:bookmarkStart w:id="25" w:name="X4b69a82cd8c30780ea2f2c25b4a926a7b5da070"/>
    <w:p>
      <w:pPr>
        <w:pStyle w:val="Bibliography"/>
      </w:pPr>
      <w:r>
        <w:t xml:space="preserve">3.</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25"/>
    <w:bookmarkStart w:id="26" w:name="ref-MedRxivOrgPreprint"/>
    <w:p>
      <w:pPr>
        <w:pStyle w:val="Bibliography"/>
      </w:pPr>
      <w:r>
        <w:t xml:space="preserve">4.</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26"/>
    <w:bookmarkEnd w:id="27"/>
    <w:bookmarkEnd w:id="2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02/nau.22726"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02/nau.2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2023-10-24T09:55:50Z</dcterms:created>
  <dcterms:modified xsi:type="dcterms:W3CDTF">2023-10-24T09:55:50Z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