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7"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w:t>
      </w:r>
      <w:r>
        <w:t xml:space="preserve">. Concerned editors sought ways to adopt reporting guidelines, and more and more journals</w:t>
      </w:r>
      <w:r>
        <w:t xml:space="preserve"> </w:t>
      </w:r>
      <w:r>
        <w:t xml:space="preserve">[2]</w:t>
      </w:r>
      <w:r>
        <w:t xml:space="preserve">;</w:t>
      </w:r>
      <w:r>
        <w:t xml:space="preserve"> </w:t>
      </w:r>
      <w:r>
        <w:t xml:space="preserve">[3]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1</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[5, 6]</w:t>
      </w:r>
      <w:r>
        <w:t xml:space="preserve">, online applications to facilitate checklist and flow diagram completion</w:t>
      </w:r>
      <w:r>
        <w:t xml:space="preserve"> </w:t>
      </w:r>
      <w:r>
        <w:t xml:space="preserve">[7, 8]</w:t>
      </w:r>
      <w:r>
        <w:t xml:space="preserve">, and resources for reviewers to check compliance</w:t>
      </w:r>
      <w:r>
        <w:t xml:space="preserve"> </w:t>
      </w:r>
      <w:r>
        <w:t xml:space="preserve">[9]</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2</w:t>
        </w:r>
      </w:hyperlink>
      <w:r>
        <w:t xml:space="preserve">.</w:t>
      </w:r>
    </w:p>
    <w:bookmarkStart w:id="21" w:name="tbl-complexity"/>
    <w:p>
      <w:pPr>
        <w:pStyle w:val="TableCaption"/>
      </w:pPr>
      <w:r>
        <w:t xml:space="preserve">Table 2: Sources of complexity within reporting guidelines and the system drives their use.</w:t>
      </w:r>
    </w:p>
    <w:tbl>
      <w:tblPr>
        <w:tblStyle w:val="Table"/>
        <w:tblW w:type="pct" w:w="5000"/>
        <w:tblLook w:firstRow="1" w:lastRow="0" w:firstColumn="0" w:lastColumn="0" w:noHBand="0" w:noVBand="0" w:val="0020"/>
        <w:jc w:val="start"/>
        <w:tblCaption w:val="Table 2: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1"/>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Start w:id="36" w:name="refs"/>
    <w:bookmarkStart w:id="22" w:name="ref-ICMJERecommendationsPreparing"/>
    <w:p>
      <w:pPr>
        <w:pStyle w:val="Bibliography"/>
      </w:pPr>
      <w:r>
        <w:t xml:space="preserve">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22"/>
    <w:bookmarkStart w:id="24" w:name="ref-kochExplicitMentioningReporting2016"/>
    <w:p>
      <w:pPr>
        <w:pStyle w:val="Bibliography"/>
      </w:pPr>
      <w:r>
        <w:t xml:space="preserve">2.</w:t>
      </w:r>
      <w:r>
        <w:t xml:space="preserve"> </w:t>
      </w:r>
      <w:r>
        <w:t xml:space="preserve">	</w:t>
      </w:r>
      <w:r>
        <w:t xml:space="preserve">Koch M, Riss P, Umek W, Hanzal E (2016)</w:t>
      </w:r>
      <w:r>
        <w:t xml:space="preserve"> </w:t>
      </w:r>
      <w:hyperlink r:id="rId2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24"/>
    <w:bookmarkStart w:id="25" w:name="X4b69a82cd8c30780ea2f2c25b4a926a7b5da070"/>
    <w:p>
      <w:pPr>
        <w:pStyle w:val="Bibliography"/>
      </w:pPr>
      <w:r>
        <w:t xml:space="preserve">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25"/>
    <w:bookmarkStart w:id="26" w:name="ref-MedRxivOrgPreprint"/>
    <w:p>
      <w:pPr>
        <w:pStyle w:val="Bibliography"/>
      </w:pPr>
      <w:r>
        <w:t xml:space="preserve">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26"/>
    <w:bookmarkStart w:id="28" w:name="ref-barnesImpactOnlineWriting2015"/>
    <w:p>
      <w:pPr>
        <w:pStyle w:val="Bibliography"/>
      </w:pPr>
      <w:r>
        <w:t xml:space="preserve">5.</w:t>
      </w:r>
      <w:r>
        <w:t xml:space="preserve"> </w:t>
      </w:r>
      <w:r>
        <w:t xml:space="preserve">	</w:t>
      </w:r>
      <w:r>
        <w:t xml:space="preserve">Barnes C, Boutron I, Giraudeau B, Porcher R, Altman DG, Ravaud P (2015)</w:t>
      </w:r>
      <w:r>
        <w:t xml:space="preserve"> </w:t>
      </w:r>
      <w:hyperlink r:id="rId2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28"/>
    <w:bookmarkStart w:id="30" w:name="X22e2deb4afc280281167542abb0e06b17524ca0"/>
    <w:p>
      <w:pPr>
        <w:pStyle w:val="Bibliography"/>
      </w:pPr>
      <w:r>
        <w:t xml:space="preserve">6.</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29">
        <w:r>
          <w:rPr>
            <w:rStyle w:val="Hyperlink"/>
          </w:rPr>
          <w:t xml:space="preserve">https://doi.org/10.1136/bmjopen-2019-030943</w:t>
        </w:r>
      </w:hyperlink>
    </w:p>
    <w:bookmarkEnd w:id="30"/>
    <w:bookmarkStart w:id="32" w:name="ref-haddawayPRISMA2020PackageShiny2022"/>
    <w:p>
      <w:pPr>
        <w:pStyle w:val="Bibliography"/>
      </w:pPr>
      <w:r>
        <w:t xml:space="preserve">7.</w:t>
      </w:r>
      <w:r>
        <w:t xml:space="preserve"> </w:t>
      </w:r>
      <w:r>
        <w:t xml:space="preserve">	</w:t>
      </w:r>
      <w:r>
        <w:t xml:space="preserve">Haddaway NR, Page MJ, Pritchard CC, McGuinness LA (2022)</w:t>
      </w:r>
      <w:r>
        <w:t xml:space="preserve"> </w:t>
      </w:r>
      <w:hyperlink r:id="rId3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32"/>
    <w:bookmarkStart w:id="34" w:name="X690a0f161ffd510f508077af519386febce046d"/>
    <w:p>
      <w:pPr>
        <w:pStyle w:val="Bibliography"/>
      </w:pPr>
      <w:r>
        <w:t xml:space="preserve">8.</w:t>
      </w:r>
      <w:r>
        <w:t xml:space="preserve"> </w:t>
      </w:r>
      <w:r>
        <w:t xml:space="preserve">	</w:t>
      </w:r>
      <w:r>
        <w:t xml:space="preserve">Struthers C, Harwood J, de Beyer JA, Dhiman P, Logullo P, Schlüssel M (2021)</w:t>
      </w:r>
      <w:r>
        <w:t xml:space="preserve"> </w:t>
      </w:r>
      <w:hyperlink r:id="rId3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4"/>
    <w:bookmarkStart w:id="35" w:name="ref-ComplianceQuestionnaireARRIVE"/>
    <w:p>
      <w:pPr>
        <w:pStyle w:val="Bibliography"/>
      </w:pPr>
      <w:r>
        <w:t xml:space="preserve">9.</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35"/>
    <w:bookmarkEnd w:id="36"/>
    <w:bookmarkEnd w:id="37"/>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2023-12-22T18:23:24Z</dcterms:created>
  <dcterms:modified xsi:type="dcterms:W3CDTF">2023-12-22T18:23:24Z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