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this chapter I introduce the evidence gap I have addressed and the approach I have taken to address it. I begin by describing the prevalence and consequences of poorly reported medical research. I introduce reporting guidelines and position them as part of a complex behaviour change intervention. This intervention has had a disappointing impact, as medical research is still poorly reported. This brings me to my evidence gap: how can we get more authors to adhere to reporting guidelines? I then outline my aims, objectives, and thesis structure.</w:t>
      </w:r>
    </w:p>
    <w:bookmarkStart w:id="20"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End w:id="20"/>
    <w:bookmarkStart w:id="22"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[10]</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[11]</w:t>
      </w:r>
      <w:r>
        <w:t xml:space="preserve">;</w:t>
      </w:r>
      <w:r>
        <w:t xml:space="preserve"> </w:t>
      </w:r>
      <w:r>
        <w:t xml:space="preserve">[12]</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1"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[13]</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[14]</w:t>
      </w:r>
      <w:r>
        <w:t xml:space="preserve">.</w:t>
      </w:r>
    </w:p>
    <w:bookmarkEnd w:id="22"/>
    <w:bookmarkStart w:id="2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End w:id="23"/>
    <w:bookmarkStart w:id="26"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[15]</w:t>
      </w:r>
      <w:r>
        <w:t xml:space="preserve">. Concerned editors sought ways to adopt reporting guidelines, and more and more journals</w:t>
      </w:r>
      <w:r>
        <w:t xml:space="preserve"> </w:t>
      </w:r>
      <w:r>
        <w:t xml:space="preserve">[16]</w:t>
      </w:r>
      <w:r>
        <w:t xml:space="preserve">;</w:t>
      </w:r>
      <w:r>
        <w:t xml:space="preserve"> </w:t>
      </w:r>
      <w:r>
        <w:t xml:space="preserve">[17]</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2</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4" w:name="tbl-journal-policies"/>
    <w:p>
      <w:pPr>
        <w:pStyle w:val="TableCaption"/>
      </w:pPr>
      <w:r>
        <w:t xml:space="preserve">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4"/>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[18]</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[19, 20]</w:t>
      </w:r>
      <w:r>
        <w:t xml:space="preserve">, online applications to facilitate checklist and flow diagram completion</w:t>
      </w:r>
      <w:r>
        <w:t xml:space="preserve"> </w:t>
      </w:r>
      <w:r>
        <w:t xml:space="preserve">[21, 22]</w:t>
      </w:r>
      <w:r>
        <w:t xml:space="preserve">, and resources for reviewers to check compliance</w:t>
      </w:r>
      <w:r>
        <w:t xml:space="preserve"> </w:t>
      </w:r>
      <w:r>
        <w:t xml:space="preserve">[23]</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3</w:t>
        </w:r>
      </w:hyperlink>
      <w:r>
        <w:t xml:space="preserve">.</w:t>
      </w:r>
    </w:p>
    <w:bookmarkStart w:id="25" w:name="tbl-complexity"/>
    <w:p>
      <w:pPr>
        <w:pStyle w:val="TableCaption"/>
      </w:pPr>
      <w:r>
        <w:t xml:space="preserve">Table 3: Sources of complexity within reporting guidelines and the system drives their use.</w:t>
      </w:r>
    </w:p>
    <w:tbl>
      <w:tblPr>
        <w:tblStyle w:val="Table"/>
        <w:tblW w:type="pct" w:w="5000"/>
        <w:tblLook w:firstRow="1" w:lastRow="0" w:firstColumn="0" w:lastColumn="0" w:noHBand="0" w:noVBand="0" w:val="0020"/>
        <w:jc w:val="start"/>
        <w:tblCaption w:val="Table 3: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5"/>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End w:id="26"/>
    <w:bookmarkStart w:id="30" w:name="Xa39681bc29eaa21079909d79a2ef6778d566f71"/>
    <w:p>
      <w:pPr>
        <w:pStyle w:val="Heading2"/>
      </w:pPr>
      <w:r>
        <w:t xml:space="preserve">Reporting quality has improved over time but remains sub optimal</w:t>
      </w:r>
    </w:p>
    <w:bookmarkStart w:id="27"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[24]</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[4]</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[25]</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[26]</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[27]</w:t>
      </w:r>
      <w:r>
        <w:t xml:space="preserve">. Similarly, Pouwels et al. found no improvement in observational epidemiology following STROBE’s publication</w:t>
      </w:r>
      <w:r>
        <w:t xml:space="preserve"> </w:t>
      </w:r>
      <w:r>
        <w:t xml:space="preserve">[28]</w:t>
      </w:r>
      <w:r>
        <w:t xml:space="preserve"> </w:t>
      </w:r>
      <w:r>
        <w:t xml:space="preserve">and another study</w:t>
      </w:r>
      <w:r>
        <w:t xml:space="preserve"> </w:t>
      </w:r>
      <w:r>
        <w:t xml:space="preserve">[29]</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[30]</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[22]</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[31]</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7"/>
    <w:bookmarkStart w:id="28"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[32]</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[33]</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[34]</w:t>
      </w:r>
      <w:r>
        <w:t xml:space="preserve">. Adding a reviewer whose task was to check for guideline adherence did lead to improved reporting quality</w:t>
      </w:r>
      <w:r>
        <w:t xml:space="preserve"> </w:t>
      </w:r>
      <w:r>
        <w:t xml:space="preserve">[35]</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[36]</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[37]</w:t>
      </w:r>
      <w:r>
        <w:t xml:space="preserve"> </w:t>
      </w:r>
      <w:r>
        <w:t xml:space="preserve">found 88% of studies reported suboptimal adherence to reporting guidelines. Similarly, Dal Santo et al</w:t>
      </w:r>
      <w:r>
        <w:t xml:space="preserve"> </w:t>
      </w:r>
      <w:r>
        <w:t xml:space="preserve">[38]</w:t>
      </w:r>
      <w:r>
        <w:t xml:space="preserve"> </w:t>
      </w:r>
      <w:r>
        <w:t xml:space="preserve">reviewed 148 studies of reporting quality from the previous few years and almost all described reporting quality as suboptimal.</w:t>
      </w:r>
    </w:p>
    <w:bookmarkEnd w:id="28"/>
    <w:bookmarkStart w:id="29"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End w:id="29"/>
    <w:bookmarkEnd w:id="30"/>
    <w:bookmarkStart w:id="31"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[39]</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[4]</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[26]</w:t>
      </w:r>
      <w:r>
        <w:t xml:space="preserve">. But the PLOS One</w:t>
      </w:r>
      <w:r>
        <w:t xml:space="preserve"> </w:t>
      </w:r>
      <w:r>
        <w:t xml:space="preserve">[32]</w:t>
      </w:r>
      <w:r>
        <w:t xml:space="preserve"> </w:t>
      </w:r>
      <w:r>
        <w:t xml:space="preserve">and BMJ Open studies</w:t>
      </w:r>
      <w:r>
        <w:t xml:space="preserve"> </w:t>
      </w:r>
      <w:r>
        <w:t xml:space="preserve">[22]</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[35]</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[33]</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End w:id="31"/>
    <w:bookmarkStart w:id="32"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32"/>
    <w:bookmarkStart w:id="33" w:name="aims-and-objectives"/>
    <w:p>
      <w:pPr>
        <w:pStyle w:val="Heading2"/>
      </w:pPr>
      <w:r>
        <w:t xml:space="preserve">Aims and Objectives</w:t>
      </w:r>
    </w:p>
    <w:p>
      <w:pPr>
        <w:pStyle w:val="FirstParagraph"/>
      </w:pPr>
      <w:r>
        <w:t xml:space="preserve">My aim was to identify and address barriers preventing authors from adhering to reporting guidelines. I wanted to explore the entire reporting guideline system, and I wanted to be thorough: I wanted to identify as many barriers as possible, and as many solutions as possible, before deciding which to implement.</w:t>
      </w:r>
    </w:p>
    <w:p>
      <w:pPr>
        <w:pStyle w:val="BodyText"/>
      </w:pPr>
      <w:r>
        <w:t xml:space="preserve">My objectives were:</w:t>
      </w:r>
    </w:p>
    <w:p>
      <w:pPr>
        <w:numPr>
          <w:ilvl w:val="0"/>
          <w:numId w:val="1001"/>
        </w:numPr>
        <w:pStyle w:val="Compact"/>
      </w:pPr>
      <w:r>
        <w:t xml:space="preserve">To identify factors that may limit reporting guideline impact by synthesising existing research and by evaluating the EQUATOR Network website (addressed in chapters 3)</w:t>
      </w:r>
    </w:p>
    <w:p>
      <w:pPr>
        <w:numPr>
          <w:ilvl w:val="0"/>
          <w:numId w:val="1001"/>
        </w:numPr>
        <w:pStyle w:val="Compact"/>
      </w:pPr>
      <w:r>
        <w:t xml:space="preserve">To work with key stakeholders to identify intervention changes to address these limiting factors (addressed in chapters 6)</w:t>
      </w:r>
    </w:p>
    <w:p>
      <w:pPr>
        <w:numPr>
          <w:ilvl w:val="0"/>
          <w:numId w:val="1001"/>
        </w:numPr>
        <w:pStyle w:val="Compact"/>
      </w:pPr>
      <w:r>
        <w:t xml:space="preserve">To implement these changes (described in 10)</w:t>
      </w:r>
    </w:p>
    <w:p>
      <w:pPr>
        <w:numPr>
          <w:ilvl w:val="0"/>
          <w:numId w:val="1001"/>
        </w:numPr>
        <w:pStyle w:val="Compact"/>
      </w:pPr>
      <w:r>
        <w:t xml:space="preserve">To refine the new intervention in response to feedback from authors (addressed in chapter 11)</w:t>
      </w:r>
    </w:p>
    <w:p>
      <w:pPr>
        <w:pStyle w:val="FirstParagraph"/>
      </w:pPr>
      <w:r>
        <w:t xml:space="preserve">My thesis bares many of the hallmarks of pragmatism. I used both qualitative and quantitative methods. Constraints (like time and access to participants) influenced my decisions. I balanced participants’ views with my own; I sought to remove my views as much as possible in all chapters except for the workshops I conducted with EQUATOR (chapter 7) and when designing the intervention (chapter 10). I balanced inductive and deductive reasoning; my early chapters were exploratory and inductive, and my later chapters became increasingly deductive as my focus narrowed and I relied more heavily on a framework.</w:t>
      </w:r>
    </w:p>
    <w:bookmarkEnd w:id="33"/>
    <w:bookmarkStart w:id="108"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Start w:id="107" w:name="refs"/>
    <w:bookmarkStart w:id="35" w:name="X78e05f87d9b134a0a833ebbbb8915350ba90d4d"/>
    <w:p>
      <w:pPr>
        <w:pStyle w:val="Bibliography"/>
      </w:pPr>
      <w:r>
        <w:t xml:space="preserve">1.</w:t>
      </w:r>
      <w:r>
        <w:t xml:space="preserve"> </w:t>
      </w:r>
      <w:r>
        <w:t xml:space="preserve">	</w:t>
      </w:r>
      <w:r>
        <w:t xml:space="preserve">Liberati A (2004)</w:t>
      </w:r>
      <w:r>
        <w:t xml:space="preserve"> </w:t>
      </w:r>
      <w:hyperlink r:id="rId34">
        <w:r>
          <w:rPr>
            <w:rStyle w:val="Hyperlink"/>
          </w:rPr>
          <w:t xml:space="preserve">An unfinished trip through uncertainties</w:t>
        </w:r>
      </w:hyperlink>
      <w:r>
        <w:t xml:space="preserve">. BMJ : British Medical Journal 328:531</w:t>
      </w:r>
    </w:p>
    <w:bookmarkEnd w:id="35"/>
    <w:bookmarkStart w:id="37"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36">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37"/>
    <w:bookmarkStart w:id="39" w:name="Xb247311f124d5b50fbaa44c342a49809750f5a9"/>
    <w:p>
      <w:pPr>
        <w:pStyle w:val="Bibliography"/>
      </w:pPr>
      <w:r>
        <w:t xml:space="preserve">3.</w:t>
      </w:r>
      <w:r>
        <w:t xml:space="preserve"> </w:t>
      </w:r>
      <w:r>
        <w:t xml:space="preserve">	</w:t>
      </w:r>
      <w:r>
        <w:t xml:space="preserve">Glick BS (1963)</w:t>
      </w:r>
      <w:r>
        <w:t xml:space="preserve"> </w:t>
      </w:r>
      <w:hyperlink r:id="rId38">
        <w:r>
          <w:rPr>
            <w:rStyle w:val="Hyperlink"/>
          </w:rPr>
          <w:t xml:space="preserve">Inadequacies in the reporting of clinical drug research</w:t>
        </w:r>
      </w:hyperlink>
      <w:r>
        <w:t xml:space="preserve">. The Psychiatric Quarterly 37:234–244</w:t>
      </w:r>
    </w:p>
    <w:bookmarkEnd w:id="39"/>
    <w:bookmarkStart w:id="41"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40">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41"/>
    <w:bookmarkStart w:id="43" w:name="ref-carpSecretLivesExperiments2012"/>
    <w:p>
      <w:pPr>
        <w:pStyle w:val="Bibliography"/>
      </w:pPr>
      <w:r>
        <w:t xml:space="preserve">5.</w:t>
      </w:r>
      <w:r>
        <w:t xml:space="preserve"> </w:t>
      </w:r>
      <w:r>
        <w:t xml:space="preserve">	</w:t>
      </w:r>
      <w:r>
        <w:t xml:space="preserve">Carp J (2012)</w:t>
      </w:r>
      <w:r>
        <w:t xml:space="preserve"> </w:t>
      </w:r>
      <w:hyperlink r:id="rId42">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43"/>
    <w:bookmarkStart w:id="45"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44">
        <w:r>
          <w:rPr>
            <w:rStyle w:val="Hyperlink"/>
          </w:rPr>
          <w:t xml:space="preserve">What is missing from descriptions of treatment in trials and reviews?</w:t>
        </w:r>
      </w:hyperlink>
      <w:r>
        <w:t xml:space="preserve"> BMJ 336:1472–1474</w:t>
      </w:r>
    </w:p>
    <w:bookmarkEnd w:id="45"/>
    <w:bookmarkStart w:id="47" w:name="X1e38992eb720cb5df8e971632c764377a614cf3"/>
    <w:p>
      <w:pPr>
        <w:pStyle w:val="Bibliography"/>
      </w:pPr>
      <w:r>
        <w:t xml:space="preserve">7.</w:t>
      </w:r>
      <w:r>
        <w:t xml:space="preserve"> </w:t>
      </w:r>
      <w:r>
        <w:t xml:space="preserve">	</w:t>
      </w:r>
      <w:r>
        <w:t xml:space="preserve">Feinstein AR (1974)</w:t>
      </w:r>
      <w:r>
        <w:t xml:space="preserve"> </w:t>
      </w:r>
      <w:hyperlink r:id="rId46">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47"/>
    <w:bookmarkStart w:id="49"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48">
        <w:r>
          <w:rPr>
            <w:rStyle w:val="Hyperlink"/>
          </w:rPr>
          <w:t xml:space="preserve">Exercise interventions for low back pain are poorly reported: A systematic review</w:t>
        </w:r>
      </w:hyperlink>
      <w:r>
        <w:t xml:space="preserve">. Journal of Clinical Epidemiology 139:279–286</w:t>
      </w:r>
    </w:p>
    <w:bookmarkEnd w:id="49"/>
    <w:bookmarkStart w:id="51"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51"/>
    <w:bookmarkStart w:id="53" w:name="ref-beggImprovingQualityReporting1996"/>
    <w:p>
      <w:pPr>
        <w:pStyle w:val="Bibliography"/>
      </w:pPr>
      <w:r>
        <w:t xml:space="preserve">10.</w:t>
      </w:r>
      <w:r>
        <w:t xml:space="preserve"> </w:t>
      </w:r>
      <w:r>
        <w:t xml:space="preserve">	</w:t>
      </w:r>
      <w:r>
        <w:t xml:space="preserve">Begg C, Cho M, Eastwood S, et al (1996)</w:t>
      </w:r>
      <w:r>
        <w:t xml:space="preserve"> </w:t>
      </w:r>
      <w:hyperlink r:id="rId5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53"/>
    <w:bookmarkStart w:id="55" w:name="ref-altmanBetterReportingRandomised1996"/>
    <w:p>
      <w:pPr>
        <w:pStyle w:val="Bibliography"/>
      </w:pPr>
      <w:r>
        <w:t xml:space="preserve">11.</w:t>
      </w:r>
      <w:r>
        <w:t xml:space="preserve"> </w:t>
      </w:r>
      <w:r>
        <w:t xml:space="preserve">	</w:t>
      </w:r>
      <w:r>
        <w:t xml:space="preserve">Altman DG (1996)</w:t>
      </w:r>
      <w:r>
        <w:t xml:space="preserve"> </w:t>
      </w:r>
      <w:hyperlink r:id="rId5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55"/>
    <w:bookmarkStart w:id="57" w:name="ref-altmanRevisedCONSORTStatement2001"/>
    <w:p>
      <w:pPr>
        <w:pStyle w:val="Bibliography"/>
      </w:pPr>
      <w:r>
        <w:t xml:space="preserve">12.</w:t>
      </w:r>
      <w:r>
        <w:t xml:space="preserve"> </w:t>
      </w:r>
      <w:r>
        <w:t xml:space="preserve">	</w:t>
      </w:r>
      <w:r>
        <w:t xml:space="preserve">Altman DG, Schulz KF, Moher D, Egger M, Davidoff F, Elbourne D, Gøtzsche PC, Lang T (2001)</w:t>
      </w:r>
      <w:r>
        <w:t xml:space="preserve"> </w:t>
      </w:r>
      <w:hyperlink r:id="rId5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57"/>
    <w:bookmarkStart w:id="59" w:name="Xb2af66b68cc61fcc77a6a228f9a547405848dd7"/>
    <w:p>
      <w:pPr>
        <w:pStyle w:val="Bibliography"/>
      </w:pPr>
      <w:r>
        <w:t xml:space="preserve">13.</w:t>
      </w:r>
      <w:r>
        <w:t xml:space="preserve"> </w:t>
      </w:r>
      <w:r>
        <w:t xml:space="preserve">	</w:t>
      </w:r>
      <w:r>
        <w:t xml:space="preserve">O’Brien BC, Harris IB, Beckman TJ, Reed DA, Cook DA (2014)</w:t>
      </w:r>
      <w:r>
        <w:t xml:space="preserve"> </w:t>
      </w:r>
      <w:hyperlink r:id="rId5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59"/>
    <w:bookmarkStart w:id="61" w:name="ref-caulleyCitationImpactWas2020"/>
    <w:p>
      <w:pPr>
        <w:pStyle w:val="Bibliography"/>
      </w:pPr>
      <w:r>
        <w:t xml:space="preserve">14.</w:t>
      </w:r>
      <w:r>
        <w:t xml:space="preserve"> </w:t>
      </w:r>
      <w:r>
        <w:t xml:space="preserve">	</w:t>
      </w:r>
      <w:r>
        <w:t xml:space="preserve">Caulley L, Cheng W, Catalá-López F, Whelan J, Khoury M, Ferraro J, Husereau D, Altman DG, Moher D (2020)</w:t>
      </w:r>
      <w:r>
        <w:t xml:space="preserve"> </w:t>
      </w:r>
      <w:hyperlink r:id="rId60">
        <w:r>
          <w:rPr>
            <w:rStyle w:val="Hyperlink"/>
          </w:rPr>
          <w:t xml:space="preserve">Citation impact was highly variable for reporting guidelines of health research: A citation analysis</w:t>
        </w:r>
      </w:hyperlink>
      <w:r>
        <w:t xml:space="preserve">. Journal of Clinical Epidemiology 127:96–104</w:t>
      </w:r>
    </w:p>
    <w:bookmarkEnd w:id="61"/>
    <w:bookmarkStart w:id="62" w:name="ref-ICMJERecommendationsPreparing"/>
    <w:p>
      <w:pPr>
        <w:pStyle w:val="Bibliography"/>
      </w:pPr>
      <w:r>
        <w:t xml:space="preserve">15.</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62"/>
    <w:bookmarkStart w:id="64" w:name="ref-kochExplicitMentioningReporting2016"/>
    <w:p>
      <w:pPr>
        <w:pStyle w:val="Bibliography"/>
      </w:pPr>
      <w:r>
        <w:t xml:space="preserve">16.</w:t>
      </w:r>
      <w:r>
        <w:t xml:space="preserve"> </w:t>
      </w:r>
      <w:r>
        <w:t xml:space="preserve">	</w:t>
      </w:r>
      <w:r>
        <w:t xml:space="preserve">Koch M, Riss P, Umek W, Hanzal E (2016)</w:t>
      </w:r>
      <w:r>
        <w:t xml:space="preserve"> </w:t>
      </w:r>
      <w:hyperlink r:id="rId6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64"/>
    <w:bookmarkStart w:id="65" w:name="X4b69a82cd8c30780ea2f2c25b4a926a7b5da070"/>
    <w:p>
      <w:pPr>
        <w:pStyle w:val="Bibliography"/>
      </w:pPr>
      <w:r>
        <w:t xml:space="preserve">17.</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65"/>
    <w:bookmarkStart w:id="66" w:name="ref-MedRxivOrgPreprint"/>
    <w:p>
      <w:pPr>
        <w:pStyle w:val="Bibliography"/>
      </w:pPr>
      <w:r>
        <w:t xml:space="preserve">18.</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66"/>
    <w:bookmarkStart w:id="68" w:name="ref-barnesImpactOnlineWriting2015"/>
    <w:p>
      <w:pPr>
        <w:pStyle w:val="Bibliography"/>
      </w:pPr>
      <w:r>
        <w:t xml:space="preserve">19.</w:t>
      </w:r>
      <w:r>
        <w:t xml:space="preserve"> </w:t>
      </w:r>
      <w:r>
        <w:t xml:space="preserve">	</w:t>
      </w:r>
      <w:r>
        <w:t xml:space="preserve">Barnes C, Boutron I, Giraudeau B, Porcher R, Altman DG, Ravaud P (2015)</w:t>
      </w:r>
      <w:r>
        <w:t xml:space="preserve"> </w:t>
      </w:r>
      <w:hyperlink r:id="rId6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68"/>
    <w:bookmarkStart w:id="70" w:name="X22e2deb4afc280281167542abb0e06b17524ca0"/>
    <w:p>
      <w:pPr>
        <w:pStyle w:val="Bibliography"/>
      </w:pPr>
      <w:r>
        <w:t xml:space="preserve">20.</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69">
        <w:r>
          <w:rPr>
            <w:rStyle w:val="Hyperlink"/>
          </w:rPr>
          <w:t xml:space="preserve">https://doi.org/10.1136/bmjopen-2019-030943</w:t>
        </w:r>
      </w:hyperlink>
    </w:p>
    <w:bookmarkEnd w:id="70"/>
    <w:bookmarkStart w:id="72" w:name="ref-haddawayPRISMA2020PackageShiny2022"/>
    <w:p>
      <w:pPr>
        <w:pStyle w:val="Bibliography"/>
      </w:pPr>
      <w:r>
        <w:t xml:space="preserve">21.</w:t>
      </w:r>
      <w:r>
        <w:t xml:space="preserve"> </w:t>
      </w:r>
      <w:r>
        <w:t xml:space="preserve">	</w:t>
      </w:r>
      <w:r>
        <w:t xml:space="preserve">Haddaway NR, Page MJ, Pritchard CC, McGuinness LA (2022)</w:t>
      </w:r>
      <w:r>
        <w:t xml:space="preserve"> </w:t>
      </w:r>
      <w:hyperlink r:id="rId7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72"/>
    <w:bookmarkStart w:id="74" w:name="X690a0f161ffd510f508077af519386febce046d"/>
    <w:p>
      <w:pPr>
        <w:pStyle w:val="Bibliography"/>
      </w:pPr>
      <w:r>
        <w:t xml:space="preserve">22.</w:t>
      </w:r>
      <w:r>
        <w:t xml:space="preserve"> </w:t>
      </w:r>
      <w:r>
        <w:t xml:space="preserve">	</w:t>
      </w:r>
      <w:r>
        <w:t xml:space="preserve">Struthers C, Harwood J, de Beyer JA, Dhiman P, Logullo P, Schlüssel M (2021)</w:t>
      </w:r>
      <w:r>
        <w:t xml:space="preserve"> </w:t>
      </w:r>
      <w:hyperlink r:id="rId7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4"/>
    <w:bookmarkStart w:id="75" w:name="ref-ComplianceQuestionnaireARRIVE"/>
    <w:p>
      <w:pPr>
        <w:pStyle w:val="Bibliography"/>
      </w:pPr>
      <w:r>
        <w:t xml:space="preserve">23.</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75"/>
    <w:bookmarkStart w:id="77" w:name="X15f457acbcc220a11e3cba81d4db041b8fd03d8"/>
    <w:p>
      <w:pPr>
        <w:pStyle w:val="Bibliography"/>
      </w:pPr>
      <w:r>
        <w:t xml:space="preserve">24.</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76">
        <w:r>
          <w:rPr>
            <w:rStyle w:val="Hyperlink"/>
          </w:rPr>
          <w:t xml:space="preserve">https://doi.org/10.1016/j.jclinepi.2023.08.004</w:t>
        </w:r>
      </w:hyperlink>
    </w:p>
    <w:bookmarkEnd w:id="77"/>
    <w:bookmarkStart w:id="79" w:name="X0fbbaa3f32946f939e2a1d4cf7b239bbeb353e6"/>
    <w:p>
      <w:pPr>
        <w:pStyle w:val="Bibliography"/>
      </w:pPr>
      <w:r>
        <w:t xml:space="preserve">25.</w:t>
      </w:r>
      <w:r>
        <w:t xml:space="preserve"> </w:t>
      </w:r>
      <w:r>
        <w:t xml:space="preserve">	</w:t>
      </w:r>
      <w:r>
        <w:t xml:space="preserve">de Jong Y, van der Willik EM, Milders J, Voorend CGN, Morton RL, Dekker FW, Meuleman Y, van Diepen M (2021)</w:t>
      </w:r>
      <w:r>
        <w:t xml:space="preserve"> </w:t>
      </w:r>
      <w:hyperlink r:id="rId78">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79"/>
    <w:bookmarkStart w:id="81" w:name="X2b83d62296f34bf67e0734121aba85eff73327d"/>
    <w:p>
      <w:pPr>
        <w:pStyle w:val="Bibliography"/>
      </w:pPr>
      <w:r>
        <w:t xml:space="preserve">26.</w:t>
      </w:r>
      <w:r>
        <w:t xml:space="preserve"> </w:t>
      </w:r>
      <w:r>
        <w:t xml:space="preserve">	</w:t>
      </w:r>
      <w:r>
        <w:t xml:space="preserve">Nedovic D, Panic N, Pastorino R, Ricciardi W, Boccia S (2016)</w:t>
      </w:r>
      <w:r>
        <w:t xml:space="preserve"> </w:t>
      </w:r>
      <w:hyperlink r:id="rId80">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81"/>
    <w:bookmarkStart w:id="83" w:name="ref-howellEffectSQUIREStandards2015"/>
    <w:p>
      <w:pPr>
        <w:pStyle w:val="Bibliography"/>
      </w:pPr>
      <w:r>
        <w:t xml:space="preserve">27.</w:t>
      </w:r>
      <w:r>
        <w:t xml:space="preserve"> </w:t>
      </w:r>
      <w:r>
        <w:t xml:space="preserve">	</w:t>
      </w:r>
      <w:r>
        <w:t xml:space="preserve">Howell V, Schwartz AE, O’Leary JD, Donnell CM (2015)</w:t>
      </w:r>
      <w:r>
        <w:t xml:space="preserve"> </w:t>
      </w:r>
      <w:hyperlink r:id="rId82">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83"/>
    <w:bookmarkStart w:id="85" w:name="X1c9d57f75a0fa718f061cba0beeb115706f462f"/>
    <w:p>
      <w:pPr>
        <w:pStyle w:val="Bibliography"/>
      </w:pPr>
      <w:r>
        <w:t xml:space="preserve">28.</w:t>
      </w:r>
      <w:r>
        <w:t xml:space="preserve"> </w:t>
      </w:r>
      <w:r>
        <w:t xml:space="preserve">	</w:t>
      </w:r>
      <w:r>
        <w:t xml:space="preserve">Pouwels KB, Widyakusuma NN, Groenwold RHH, Hak E (2016)</w:t>
      </w:r>
      <w:r>
        <w:t xml:space="preserve"> </w:t>
      </w:r>
      <w:hyperlink r:id="rId84">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85"/>
    <w:bookmarkStart w:id="87" w:name="X1215944d87e3e34f270283b97080549ea440566"/>
    <w:p>
      <w:pPr>
        <w:pStyle w:val="Bibliography"/>
      </w:pPr>
      <w:r>
        <w:t xml:space="preserve">29.</w:t>
      </w:r>
      <w:r>
        <w:t xml:space="preserve"> </w:t>
      </w:r>
      <w:r>
        <w:t xml:space="preserve">	</w:t>
      </w:r>
      <w:r>
        <w:t xml:space="preserve">Bastuji-Garin S, Sbidian E, Gaudy-Marqueste C, Ferrat E, Roujeau J-C, Richard M-A, Canoui-Poitrine F, European Dermatology Network (EDEN) (2013)</w:t>
      </w:r>
      <w:r>
        <w:t xml:space="preserve"> </w:t>
      </w:r>
      <w:hyperlink r:id="rId86">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87"/>
    <w:bookmarkStart w:id="89" w:name="Xb0e98cf8b54eae0a76266268dfd1619c8ed84b8"/>
    <w:p>
      <w:pPr>
        <w:pStyle w:val="Bibliography"/>
      </w:pPr>
      <w:r>
        <w:t xml:space="preserve">30.</w:t>
      </w:r>
      <w:r>
        <w:t xml:space="preserve"> </w:t>
      </w:r>
      <w:r>
        <w:t xml:space="preserve">	</w:t>
      </w:r>
      <w:r>
        <w:t xml:space="preserve">Hopewell S, Ravaud P, Baron G, Boutron I (2012)</w:t>
      </w:r>
      <w:r>
        <w:t xml:space="preserve"> </w:t>
      </w:r>
      <w:hyperlink r:id="rId88">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89"/>
    <w:bookmarkStart w:id="91" w:name="ref-botosReportedUseReporting2018a"/>
    <w:p>
      <w:pPr>
        <w:pStyle w:val="Bibliography"/>
      </w:pPr>
      <w:r>
        <w:t xml:space="preserve">31.</w:t>
      </w:r>
      <w:r>
        <w:t xml:space="preserve"> </w:t>
      </w:r>
      <w:r>
        <w:t xml:space="preserve">	</w:t>
      </w:r>
      <w:r>
        <w:t xml:space="preserve">Botos J (2018)</w:t>
      </w:r>
      <w:r>
        <w:t xml:space="preserve"> </w:t>
      </w:r>
      <w:hyperlink r:id="rId9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91"/>
    <w:bookmarkStart w:id="93" w:name="ref-hairRandomisedControlledTrial2019"/>
    <w:p>
      <w:pPr>
        <w:pStyle w:val="Bibliography"/>
      </w:pPr>
      <w:r>
        <w:t xml:space="preserve">32.</w:t>
      </w:r>
      <w:r>
        <w:t xml:space="preserve"> </w:t>
      </w:r>
      <w:r>
        <w:t xml:space="preserve">	</w:t>
      </w:r>
      <w:r>
        <w:t xml:space="preserve">Hair K, Macleod MR, Sena ES, et al (2019)</w:t>
      </w:r>
      <w:r>
        <w:t xml:space="preserve"> </w:t>
      </w:r>
      <w:hyperlink r:id="rId9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93"/>
    <w:bookmarkStart w:id="95" w:name="ref-hopewellImpactWebbasedTool2016"/>
    <w:p>
      <w:pPr>
        <w:pStyle w:val="Bibliography"/>
      </w:pPr>
      <w:r>
        <w:t xml:space="preserve">33.</w:t>
      </w:r>
      <w:r>
        <w:t xml:space="preserve"> </w:t>
      </w:r>
      <w:r>
        <w:t xml:space="preserve">	</w:t>
      </w:r>
      <w:r>
        <w:t xml:space="preserve">Hopewell S, Boutron I, Altman DG, et al (2016)</w:t>
      </w:r>
      <w:r>
        <w:t xml:space="preserve"> </w:t>
      </w:r>
      <w:hyperlink r:id="rId9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95"/>
    <w:bookmarkStart w:id="97" w:name="ref-coboStatisticalReviewersImprove2007"/>
    <w:p>
      <w:pPr>
        <w:pStyle w:val="Bibliography"/>
      </w:pPr>
      <w:r>
        <w:t xml:space="preserve">34.</w:t>
      </w:r>
      <w:r>
        <w:t xml:space="preserve"> </w:t>
      </w:r>
      <w:r>
        <w:t xml:space="preserve">	</w:t>
      </w:r>
      <w:r>
        <w:t xml:space="preserve">Cobo E, Selva-O’Callagham A, Ribera J-M, Cardellach F, Dominguez R, Vilardell M (2007)</w:t>
      </w:r>
      <w:r>
        <w:t xml:space="preserve"> </w:t>
      </w:r>
      <w:hyperlink r:id="rId9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97"/>
    <w:bookmarkStart w:id="99" w:name="ref-coboEffectUsingReporting2011"/>
    <w:p>
      <w:pPr>
        <w:pStyle w:val="Bibliography"/>
      </w:pPr>
      <w:r>
        <w:t xml:space="preserve">35.</w:t>
      </w:r>
      <w:r>
        <w:t xml:space="preserve"> </w:t>
      </w:r>
      <w:r>
        <w:t xml:space="preserve">	</w:t>
      </w:r>
      <w:r>
        <w:t xml:space="preserve">Cobo E, Cortés J, Ribera JM, et al (2011)</w:t>
      </w:r>
      <w:r>
        <w:t xml:space="preserve"> </w:t>
      </w:r>
      <w:hyperlink r:id="rId98">
        <w:r>
          <w:rPr>
            <w:rStyle w:val="Hyperlink"/>
          </w:rPr>
          <w:t xml:space="preserve">Effect of using reporting guidelines during peer review on quality of final manuscripts submitted to a biomedical journal: Masked randomised trial</w:t>
        </w:r>
      </w:hyperlink>
      <w:r>
        <w:t xml:space="preserve">. BMJ 343:d6783</w:t>
      </w:r>
    </w:p>
    <w:bookmarkEnd w:id="99"/>
    <w:bookmarkStart w:id="101" w:name="Xd58d49564d95109b731976a9a71ff8d1fcf6297"/>
    <w:p>
      <w:pPr>
        <w:pStyle w:val="Bibliography"/>
      </w:pPr>
      <w:r>
        <w:t xml:space="preserve">36.</w:t>
      </w:r>
      <w:r>
        <w:t xml:space="preserve"> </w:t>
      </w:r>
      <w:r>
        <w:t xml:space="preserve">	</w:t>
      </w:r>
      <w:r>
        <w:t xml:space="preserve">Pandis N, Shamseer L, Kokich VG, Fleming PS, Moher D (2014)</w:t>
      </w:r>
      <w:r>
        <w:t xml:space="preserve"> </w:t>
      </w:r>
      <w:hyperlink r:id="rId10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101"/>
    <w:bookmarkStart w:id="103" w:name="ref-jinDoesMedicalLiterature2018"/>
    <w:p>
      <w:pPr>
        <w:pStyle w:val="Bibliography"/>
      </w:pPr>
      <w:r>
        <w:t xml:space="preserve">37.</w:t>
      </w:r>
      <w:r>
        <w:t xml:space="preserve"> </w:t>
      </w:r>
      <w:r>
        <w:t xml:space="preserve">	</w:t>
      </w:r>
      <w:r>
        <w:t xml:space="preserve">Jin Y, Sanger N, Shams I, et al (2018)</w:t>
      </w:r>
      <w:r>
        <w:t xml:space="preserve"> </w:t>
      </w:r>
      <w:hyperlink r:id="rId10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103"/>
    <w:bookmarkStart w:id="104" w:name="ref-santoMethodsResultsStudies2023a"/>
    <w:p>
      <w:pPr>
        <w:pStyle w:val="Bibliography"/>
      </w:pPr>
      <w:r>
        <w:t xml:space="preserve">38.</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104"/>
    <w:bookmarkStart w:id="106" w:name="ref-glasziouReducingWasteIncomplete2014"/>
    <w:p>
      <w:pPr>
        <w:pStyle w:val="Bibliography"/>
      </w:pPr>
      <w:r>
        <w:t xml:space="preserve">39.</w:t>
      </w:r>
      <w:r>
        <w:t xml:space="preserve"> </w:t>
      </w:r>
      <w:r>
        <w:t xml:space="preserve">	</w:t>
      </w:r>
      <w:r>
        <w:t xml:space="preserve">Glasziou P, Altman DG, Bossuyt P, Boutron I, Clarke M, Julious S, Michie S, Moher D, Wager E (2014)</w:t>
      </w:r>
      <w:r>
        <w:t xml:space="preserve"> </w:t>
      </w:r>
      <w:hyperlink r:id="rId105">
        <w:r>
          <w:rPr>
            <w:rStyle w:val="Hyperlink"/>
          </w:rPr>
          <w:t xml:space="preserve">Reducing waste from incomplete or unusable reports of biomedical research</w:t>
        </w:r>
      </w:hyperlink>
      <w:r>
        <w:t xml:space="preserve">. Lancet (London, England) 383:267–276</w:t>
      </w:r>
    </w:p>
    <w:bookmarkEnd w:id="106"/>
    <w:bookmarkEnd w:id="107"/>
    <w:bookmarkEnd w:id="10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2023-12-22T17:59:48Z</dcterms:created>
  <dcterms:modified xsi:type="dcterms:W3CDTF">2023-12-22T17:59:48Z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