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Commit</w:t>
      </w:r>
      <w:r>
        <w:t xml:space="preserve"> </w:t>
      </w:r>
      <w:r>
        <w:t xml:space="preserve">ID:</w:t>
      </w:r>
      <w:r>
        <w:t xml:space="preserve"> </w:t>
      </w:r>
      <w:r>
        <w:t xml:space="preserve">c24e56f</w:t>
      </w:r>
    </w:p>
    <w:p>
      <w:pPr>
        <w:pStyle w:val="Date"/>
      </w:pPr>
      <w:r>
        <w:t xml:space="preserve">2023-10-11</w:t>
      </w:r>
    </w:p>
    <w:bookmarkStart w:id="75" w:name="introduction"/>
    <w:p>
      <w:pPr>
        <w:pStyle w:val="Heading1"/>
      </w:pPr>
      <w:r>
        <w:t xml:space="preserve">Introduction</w:t>
      </w:r>
    </w:p>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as promising solutions but with disappointing impact to date, as reporting quality has hardly improved since their publication.</w:t>
      </w:r>
    </w:p>
    <w:p>
      <w:pPr>
        <w:pStyle w:val="BodyText"/>
      </w:pPr>
      <w:r>
        <w:t xml:space="preserve">This brings me to my evidence gap: how can we get more authors to adhere to reporting guidelines? I position reporting guidelines as part of a complex behaviour change intervention and I explain how behaviour change theory offers new and fruitful approaches to answer this question.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 We may all ask this question at some point in our lives.</w:t>
      </w:r>
    </w:p>
    <w:p>
      <w:pPr>
        <w:pStyle w:val="BodyText"/>
      </w:pPr>
      <w:r>
        <w:t xml:space="preserve">When I started my PhD, the world was in the grip of COVID-19. A deluge of research ensued #REF, but because much of it was poorly reported #REF, governments and clinicians had to make decisions without inaccessible information. In the years since, my loved ones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is that my family and friends finally understand the problem my PhD thesis tries to address: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could the data they needed within research reports. For example, in 1963 Glick</w:t>
      </w:r>
      <w:r>
        <w:t xml:space="preserve"> </w:t>
      </w:r>
      <w:r>
        <w:t xml:space="preserve">[1]</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trials because of poorly described methods, thereby limiting the confidence of conclusions</w:t>
      </w:r>
      <w:r>
        <w:t xml:space="preserve"> </w:t>
      </w:r>
      <w:r>
        <w:t xml:space="preserve">[2]</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[3]</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[4]</w:t>
      </w:r>
      <w:r>
        <w:t xml:space="preserve">. As Feinstein noted in 1974</w:t>
      </w:r>
      <w:r>
        <w:t xml:space="preserve"> </w:t>
      </w:r>
      <w:r>
        <w:t xml:space="preserve">[5]</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[6]</w:t>
      </w:r>
      <w:r>
        <w:t xml:space="preserve"> </w:t>
      </w:r>
      <w:r>
        <w:t xml:space="preserve">reviewed trials describing exercise interventions for chronic back pain and found authors often did not describe their materials, infrastructure, or training, making it impossible for other healthcare providers to offer the interventions themselves.</w:t>
      </w:r>
    </w:p>
    <w:p>
      <w:pPr>
        <w:pStyle w:val="BodyText"/>
      </w:pPr>
      <w:r>
        <w:t xml:space="preserve">These are just some of the many studies documenting poor reporting in medical literature. A 2023 systematic review found 148 published between 2020-2022 alone</w:t>
      </w:r>
      <w:r>
        <w:t xml:space="preserve"> </w:t>
      </w:r>
      <w:r>
        <w:t xml:space="preserve">[7]</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concerned academics calling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w:t>
      </w:r>
      <w:r>
        <w:rPr>
          <w:bCs/>
          <w:b/>
        </w:rPr>
        <w:t xml:space="preserve">beggImprovingQualityReporting1996?</w:t>
      </w:r>
      <w:r>
        <w:t xml:space="preserve">]</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 #REF.</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r>
        <w:rPr>
          <w:bCs/>
          <w:b/>
        </w:rPr>
        <w:t xml:space="preserve">?@tbl-rgs</w:t>
      </w:r>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tbl>
      <w:tblPr>
        <w:tblStyle w:val="Table"/>
        <w:tblW w:type="pct" w:w="5000"/>
        <w:tblLook w:firstRow="1" w:lastRow="0" w:firstColumn="0" w:lastColumn="0" w:noHBand="0" w:noVBand="0" w:val="0020"/>
        <w:jc w:val="start"/>
      </w:tblPr>
      <w:tblGrid>
        <w:gridCol w:w="538"/>
        <w:gridCol w:w="1330"/>
        <w:gridCol w:w="887"/>
        <w:gridCol w:w="918"/>
        <w:gridCol w:w="760"/>
        <w:gridCol w:w="570"/>
        <w:gridCol w:w="792"/>
        <w:gridCol w:w="601"/>
        <w:gridCol w:w="506"/>
        <w:gridCol w:w="1013"/>
      </w:tblGrid>
      <w:tr>
        <w:trPr>
          <w:tblHeader w:val="true"/>
        </w:trPr>
        <w:tc>
          <w:tcPr/>
          <w:p>
            <w:pPr>
              <w:pStyle w:val="Compact"/>
              <w:jc w:val="left"/>
            </w:pPr>
            <w:r>
              <w:t xml:space="preserve">Guideline acronym</w:t>
            </w:r>
          </w:p>
        </w:tc>
        <w:tc>
          <w:tcPr/>
          <w:p>
            <w:pPr>
              <w:pStyle w:val="Compact"/>
              <w:jc w:val="left"/>
            </w:pPr>
            <w:r>
              <w:t xml:space="preserve">Definition</w:t>
            </w:r>
          </w:p>
        </w:tc>
        <w:tc>
          <w:tcPr/>
          <w:p>
            <w:pPr>
              <w:pStyle w:val="Compact"/>
              <w:jc w:val="left"/>
            </w:pPr>
            <w:r>
              <w:t xml:space="preserve">Applicable study type</w:t>
            </w:r>
          </w:p>
        </w:tc>
        <w:tc>
          <w:tcPr/>
          <w:p>
            <w:pPr>
              <w:pStyle w:val="Compact"/>
              <w:jc w:val="left"/>
            </w:pPr>
            <w:r>
              <w:t xml:space="preserve">Publication year</w:t>
            </w:r>
          </w:p>
        </w:tc>
        <w:tc>
          <w:tcPr/>
          <w:p>
            <w:pPr>
              <w:pStyle w:val="Compact"/>
              <w:jc w:val="left"/>
            </w:pPr>
            <w:r>
              <w:t xml:space="preserve">Has Development Article?</w:t>
            </w:r>
          </w:p>
        </w:tc>
        <w:tc>
          <w:tcPr/>
          <w:p>
            <w:pPr>
              <w:pStyle w:val="Compact"/>
              <w:jc w:val="left"/>
            </w:pPr>
            <w:r>
              <w:t xml:space="preserve">Has checklist?</w:t>
            </w:r>
          </w:p>
        </w:tc>
        <w:tc>
          <w:tcPr/>
          <w:p>
            <w:pPr>
              <w:pStyle w:val="Compact"/>
              <w:jc w:val="left"/>
            </w:pPr>
            <w:r>
              <w:t xml:space="preserve">Has explanatory document?</w:t>
            </w:r>
          </w:p>
        </w:tc>
        <w:tc>
          <w:tcPr/>
          <w:p>
            <w:pPr>
              <w:pStyle w:val="Compact"/>
              <w:jc w:val="left"/>
            </w:pPr>
            <w:r>
              <w:t xml:space="preserve">Development process</w:t>
            </w:r>
          </w:p>
        </w:tc>
        <w:tc>
          <w:tcPr/>
          <w:p>
            <w:pPr>
              <w:pStyle w:val="Compact"/>
              <w:jc w:val="left"/>
            </w:pPr>
            <w:r>
              <w:t xml:space="preserve">Focus on design?</w:t>
            </w:r>
          </w:p>
        </w:tc>
        <w:tc>
          <w:tcPr/>
          <w:p>
            <w:pPr>
              <w:pStyle w:val="Compact"/>
              <w:jc w:val="left"/>
            </w:pPr>
            <w:r>
              <w:t xml:space="preserve">Recommendations or requirements?</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updated in 2001 and 2010</w:t>
            </w:r>
          </w:p>
        </w:tc>
        <w:tc>
          <w:tcPr/>
          <w:p>
            <w:pPr>
              <w:pStyle w:val="Compact"/>
              <w:jc w:val="left"/>
            </w:pPr>
            <w:r>
              <w:t xml:space="preserve">Yes</w:t>
            </w:r>
          </w:p>
        </w:tc>
        <w:tc>
          <w:tcPr/>
          <w:p>
            <w:pPr>
              <w:pStyle w:val="Compact"/>
              <w:jc w:val="left"/>
            </w:pPr>
            <w:r>
              <w:t xml:space="preserve">As a Word document</w:t>
            </w:r>
          </w:p>
        </w:tc>
        <w:tc>
          <w:tcPr/>
          <w:p>
            <w:pPr>
              <w:pStyle w:val="Compact"/>
              <w:jc w:val="left"/>
            </w:pPr>
            <w:r>
              <w:t xml:space="preserve">As publication</w:t>
            </w:r>
          </w:p>
        </w:tc>
        <w:tc>
          <w:tcPr/>
          <w:p>
            <w:pPr>
              <w:pStyle w:val="Compact"/>
            </w:pPr>
          </w:p>
        </w:tc>
        <w:tc>
          <w:tcPr/>
          <w:p>
            <w:pPr>
              <w:pStyle w:val="Compact"/>
            </w:pPr>
          </w:p>
        </w:tc>
        <w:tc>
          <w:tcPr/>
          <w:p>
            <w:pPr>
              <w:pStyle w:val="Compact"/>
            </w:pPr>
          </w:p>
        </w:tc>
      </w:tr>
      <w:tr>
        <w:tc>
          <w:tcPr/>
          <w:p>
            <w:pPr>
              <w:pStyle w:val="Compact"/>
              <w:jc w:val="left"/>
            </w:pPr>
            <w:r>
              <w:t xml:space="preserve">PRISMA</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STROBE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STARD</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ARRIVE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e.t.c. #TODO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bookmarkStart w:id="21" w:name="tbl-rgs"/>
      <w:r>
        <w:t xml:space="preserve">A selection of highly cited reporting guidelines</w:t>
      </w:r>
      <w:bookmarkEnd w:id="21"/>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[8]</w:t>
      </w:r>
      <w:r>
        <w:t xml:space="preserve">.</w:t>
      </w:r>
    </w:p>
    <w:bookmarkEnd w:id="22"/>
    <w:bookmarkStart w:id="23" w:name="Xd4f865e36876da86c1df8edefe8f09839ad93ca"/>
    <w:p>
      <w:pPr>
        <w:pStyle w:val="Heading2"/>
      </w:pPr>
      <w:r>
        <w:t xml:space="preserve">EQUATOR: uniting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4" w:name="Xedd04334f754ae2c08474d052a31de599fe31f4"/>
    <w:p>
      <w:pPr>
        <w:pStyle w:val="Heading2"/>
      </w:pPr>
      <w:r>
        <w:t xml:space="preserve">Reporting quality has improved but remains sub optimal</w:t>
      </w:r>
    </w:p>
    <w:p>
      <w:pPr>
        <w:pStyle w:val="FirstParagraph"/>
      </w:pPr>
      <w:r>
        <w:t xml:space="preserve">Despite their promise, reporting guidelines have not been a silver bullet. Many studies have compared quality of reporting</w:t>
      </w:r>
      <w:r>
        <w:t xml:space="preserve"> </w:t>
      </w:r>
      <w:r>
        <w:rPr>
          <w:iCs/>
          <w:i/>
        </w:rPr>
        <w:t xml:space="preserve">before</w:t>
      </w:r>
      <w:r>
        <w:t xml:space="preserve"> </w:t>
      </w:r>
      <w:r>
        <w:t xml:space="preserve">and</w:t>
      </w:r>
      <w:r>
        <w:t xml:space="preserve"> </w:t>
      </w:r>
      <w:r>
        <w:rPr>
          <w:iCs/>
          <w:i/>
        </w:rPr>
        <w:t xml:space="preserve">after</w:t>
      </w:r>
      <w:r>
        <w:t xml:space="preserve"> </w:t>
      </w:r>
      <w:r>
        <w:t xml:space="preserve">reporting guidelines were published. Some have found evidence of improvement but all have shown reporting quality remains sub optimal.</w:t>
      </w:r>
    </w:p>
    <w:p>
      <w:pPr>
        <w:pStyle w:val="BodyText"/>
      </w:pPr>
      <w:r>
        <w:t xml:space="preserve">In 2023 Kilicoglu et al.</w:t>
      </w:r>
      <w:r>
        <w:t xml:space="preserve"> </w:t>
      </w:r>
      <w:r>
        <w:t xml:space="preserve">[9]</w:t>
      </w:r>
      <w:r>
        <w:t xml:space="preserve"> </w:t>
      </w:r>
      <w:r>
        <w:t xml:space="preserve">analysed 176,620 randomized trial reports published between 1966 and 2018. They used software to classify sentences as to whether they pertained to a CONSORT methodology item. They found reporting quality in clinical trials has improved over time but remains sub optimal. Articles published before 1990 reported 24% of CONSORT items, whereas articles published between 2010-2018 reported 48%.</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between 1986-1990, but only 31% of articles published between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[10]</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[11]</w:t>
      </w:r>
      <w:r>
        <w:t xml:space="preserve"> </w:t>
      </w:r>
      <w:r>
        <w:t xml:space="preserve">found reporting quality was better in articles published after journals began endorsing STREGA (63% vs 49% showing full adherence).</w:t>
      </w:r>
    </w:p>
    <w:p>
      <w:pPr>
        <w:pStyle w:val="BodyText"/>
      </w:pPr>
      <w:r>
        <w:t xml:space="preserve">However, not all studies have found such a relationship. For example, Howell et al. found no improvement in the reporting of quality improvement studies after the SQUIRE guidelines were published</w:t>
      </w:r>
      <w:r>
        <w:t xml:space="preserve"> </w:t>
      </w:r>
      <w:r>
        <w:t xml:space="preserve">[</w:t>
      </w:r>
      <w:r>
        <w:rPr>
          <w:bCs/>
          <w:b/>
        </w:rPr>
        <w:t xml:space="preserve">howellEffectSQUIREStandards2015?</w:t>
      </w:r>
      <w:r>
        <w:t xml:space="preserve">]</w:t>
      </w:r>
      <w:r>
        <w:t xml:space="preserve">. Similarly, Pouwels et al. found no improvement following STROBE’s publication</w:t>
      </w:r>
      <w:r>
        <w:t xml:space="preserve"> </w:t>
      </w:r>
      <w:r>
        <w:t xml:space="preserve">[12]</w:t>
      </w:r>
      <w:r>
        <w:t xml:space="preserve">.</w:t>
      </w:r>
    </w:p>
    <w:p>
      <w:pPr>
        <w:pStyle w:val="BodyText"/>
      </w:pPr>
      <w:r>
        <w:t xml:space="preserve">If reporting</w:t>
      </w:r>
      <w:r>
        <w:t xml:space="preserve"> </w:t>
      </w:r>
      <w:r>
        <w:rPr>
          <w:iCs/>
          <w:i/>
        </w:rPr>
        <w:t xml:space="preserve">has</w:t>
      </w:r>
      <w:r>
        <w:t xml:space="preserve"> </w:t>
      </w:r>
      <w:r>
        <w:t xml:space="preserve">improved, is this because of reporting guidelines, or might it reflect general improvements in academic practice? A few studies have tried to isolate the effect of reporting guidelines. For example, in Nedovic’s STREGA study, they only saw improvements amongst STREGA-endorsing journals. There was no improvement amongst articles published in journals not endorsing STREGA. In Kilicoglu’s machine learning study, the fastest improvement occurred in the years immediately after CONSORT was published. However, other studies muddy the picture. For example, in a time series analysis of 456 observational epidemiology</w:t>
      </w:r>
      <w:r>
        <w:t xml:space="preserve"> </w:t>
      </w:r>
      <w:r>
        <w:t xml:space="preserve">[13]</w:t>
      </w:r>
      <w:r>
        <w:t xml:space="preserve">, although reporting quality improved over time</w:t>
      </w:r>
      <w:r>
        <w:t xml:space="preserve"> </w:t>
      </w:r>
      <w:r>
        <w:rPr>
          <w:iCs/>
          <w:i/>
        </w:rPr>
        <w:t xml:space="preserve">before</w:t>
      </w:r>
      <w:r>
        <w:t xml:space="preserve"> </w:t>
      </w:r>
      <w:r>
        <w:t xml:space="preserve">STROBE was published, there was no further improvement</w:t>
      </w:r>
      <w:r>
        <w:t xml:space="preserve"> </w:t>
      </w:r>
      <w:r>
        <w:rPr>
          <w:iCs/>
          <w:i/>
        </w:rPr>
        <w:t xml:space="preserve">afterwards</w:t>
      </w:r>
      <w:r>
        <w:t xml:space="preserve">.</w:t>
      </w:r>
    </w:p>
    <w:p>
      <w:pPr>
        <w:pStyle w:val="BodyText"/>
      </w:pPr>
      <w:r>
        <w:t xml:space="preserve">Some studies have tried to isolate the effect of asking authors to complete reporting checklists.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[14]</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w:t>
      </w:r>
      <w:r>
        <w:rPr>
          <w:bCs/>
          <w:b/>
        </w:rPr>
        <w:t xml:space="preserve">barnesImpactOnlineWriting2015?</w:t>
      </w:r>
      <w:r>
        <w:t xml:space="preserve">]</w:t>
      </w:r>
      <w:r>
        <w:t xml:space="preserve">, 197 authors submitting to 46 participating journals were randomly allocated to receive either a) access to an online tool (called WebCONSORT) to generate customised reporting checklists and flow diagrams based on CONSORT and its extensions or b) a standard CONSORT flow diagram generator without a reporting checklist. There was no difference in reporting quality between groups: authors only reported ~50% of required items.</w:t>
      </w:r>
    </w:p>
    <w:p>
      <w:pPr>
        <w:pStyle w:val="BodyText"/>
      </w:pPr>
      <w:r>
        <w:t xml:space="preserve">In 2018, before my PhD, I collaborated with EQUATOR and BMJ Open to compare manuscript versions before and after authors completed a reporting checklist.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 No manuscript fully described all reporting items.</w:t>
      </w:r>
    </w:p>
    <w:p>
      <w:pPr>
        <w:pStyle w:val="BodyText"/>
      </w:pPr>
      <w:r>
        <w:t xml:space="preserve">Together, these studies paint a mixed picture. Reporting standards may have improved but, reporting guidelines may have led to modest improvements at best, standards remain low overall, and there is huge room for improvement. In a systematic review of 124 studies assessing adherence to one of eight reporting guidelines, Jin et al</w:t>
      </w:r>
      <w:r>
        <w:t xml:space="preserve"> </w:t>
      </w:r>
      <w:r>
        <w:t xml:space="preserve">[15]</w:t>
      </w:r>
      <w:r>
        <w:t xml:space="preserve"> </w:t>
      </w:r>
      <w:r>
        <w:t xml:space="preserve">found 88% of studies reported suboptimal adherence to reporting guidelines. Similarly, Dal Santo et al</w:t>
      </w:r>
      <w:r>
        <w:t xml:space="preserve"> </w:t>
      </w:r>
      <w:r>
        <w:t xml:space="preserve">[</w:t>
      </w:r>
      <w:r>
        <w:rPr>
          <w:bCs/>
          <w:b/>
        </w:rPr>
        <w:t xml:space="preserve">santoResearchWastePoor2022?</w:t>
      </w:r>
      <w:r>
        <w:t xml:space="preserve">]</w:t>
      </w:r>
      <w:r>
        <w:t xml:space="preserve"> </w:t>
      </w:r>
      <w:r>
        <w:t xml:space="preserve">reviewed 148 studies of reporting quality, and almost all described reporting quality as suboptimal. Ironically, the same review found the studies on reporting quality were</w:t>
      </w:r>
      <w:r>
        <w:t xml:space="preserve"> </w:t>
      </w:r>
      <w:r>
        <w:rPr>
          <w:iCs/>
          <w:i/>
        </w:rPr>
        <w:t xml:space="preserve">themselves</w:t>
      </w:r>
      <w:r>
        <w:t xml:space="preserve"> </w:t>
      </w:r>
      <w:r>
        <w:t xml:space="preserve">poorly reported: only 14 (10%) explained how they coded adherence in sufficient detail for replication, and only 49 (33%) provided data for all included studies. The authors of these studies were aware of reporting guidelines and presumably mindful of reporting If these authors still produced incomplete articles, what hope should we have for less motivated authors?</w:t>
      </w:r>
    </w:p>
    <w:bookmarkEnd w:id="24"/>
    <w:bookmarkStart w:id="27" w:name="Xe0e30e4c8e8285e807dca39641bfe5c2b25405a"/>
    <w:p>
      <w:pPr>
        <w:pStyle w:val="Heading2"/>
      </w:pPr>
      <w:r>
        <w:t xml:space="preserve">Evidence gap: how can we make reporting guidelines more impactful?</w:t>
      </w:r>
    </w:p>
    <w:p>
      <w:pPr>
        <w:pStyle w:val="FirstParagraph"/>
      </w:pPr>
      <w:r>
        <w:t xml:space="preserve">This brings me to the evidence gap my thesis addresses. Although we know reporting guidelines’ impact has been limited, we do not know why, or how to improve them.</w:t>
      </w:r>
    </w:p>
    <w:p>
      <w:pPr>
        <w:pStyle w:val="BodyText"/>
      </w:pPr>
      <w:r>
        <w:t xml:space="preserve">Beyond postulating that</w:t>
      </w:r>
      <w:r>
        <w:t xml:space="preserve"> </w:t>
      </w:r>
      <w:r>
        <w:t xml:space="preserve">“</w:t>
      </w:r>
      <w:r>
        <w:t xml:space="preserve">a successful strategy is</w:t>
      </w:r>
      <w:r>
        <w:t xml:space="preserve">”</w:t>
      </w:r>
      <w:r>
        <w:t xml:space="preserve">a successful strategy is likely to be multi-dimensional” Hair et al.</w:t>
      </w:r>
      <w:r>
        <w:t xml:space="preserve"> </w:t>
      </w:r>
      <w:r>
        <w:t xml:space="preserve">[14]</w:t>
      </w:r>
      <w:r>
        <w:t xml:space="preserve"> </w:t>
      </w:r>
      <w:r>
        <w:t xml:space="preserve">make two concrete suggestion based on evidence from their trial. Because outcome assessors rarely agreed whether a study adhered correctly to ARRIVE, they suggested refining</w:t>
      </w:r>
      <w:r>
        <w:t xml:space="preserve"> </w:t>
      </w:r>
      <w:r>
        <w:t xml:space="preserve">“</w:t>
      </w:r>
      <w:r>
        <w:t xml:space="preserve">the content</w:t>
      </w:r>
      <w:r>
        <w:t xml:space="preserve">”</w:t>
      </w:r>
      <w:r>
        <w:t xml:space="preserve"> </w:t>
      </w:r>
      <w:r>
        <w:t xml:space="preserve">and</w:t>
      </w:r>
      <w:r>
        <w:t xml:space="preserve"> </w:t>
      </w:r>
      <w:r>
        <w:t xml:space="preserve">“</w:t>
      </w:r>
      <w:r>
        <w:t xml:space="preserve">perceived clarity</w:t>
      </w:r>
      <w:r>
        <w:t xml:space="preserve">”</w:t>
      </w:r>
      <w:r>
        <w:t xml:space="preserve">. They also suggest reducing the number of items to make the guideline quicker to use.</w:t>
      </w:r>
    </w:p>
    <w:p>
      <w:pPr>
        <w:pStyle w:val="BodyText"/>
      </w:pPr>
      <w:r>
        <w:t xml:space="preserve">Many articles end their discussion section with a rallying cry for better enforcement.</w:t>
      </w:r>
    </w:p>
    <w:p>
      <w:pPr>
        <w:pStyle w:val="BodyText"/>
      </w:pPr>
      <w:r>
        <w:t xml:space="preserve">“</w:t>
      </w:r>
      <w:r>
        <w:t xml:space="preserve">We need to promote more active implementation, such as submission of the checklist with the manuscript.</w:t>
      </w:r>
      <w:r>
        <w:t xml:space="preserve">”</w:t>
      </w:r>
      <w:r>
        <w:t xml:space="preserve"> </w:t>
      </w:r>
      <w:r>
        <w:t xml:space="preserve">[2]</w:t>
      </w:r>
    </w:p>
    <w:p>
      <w:pPr>
        <w:pStyle w:val="BodyText"/>
      </w:pPr>
      <w:r>
        <w:t xml:space="preserve">“</w:t>
      </w:r>
      <w:r>
        <w:t xml:space="preserve">Therefore, we suggest that 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[11]</w:t>
      </w:r>
    </w:p>
    <w:p>
      <w:pPr>
        <w:pStyle w:val="BodyText"/>
      </w:pPr>
      <w:r>
        <w:t xml:space="preserve">Some articles end with no conjecture on why they saw little effect, or how guidelines could be improved.</w:t>
      </w:r>
      <w:r>
        <w:t xml:space="preserve"> </w:t>
      </w:r>
      <w:r>
        <w:t xml:space="preserve">[</w:t>
      </w:r>
      <w:r>
        <w:rPr>
          <w:bCs/>
          <w:b/>
        </w:rPr>
        <w:t xml:space="preserve">howellEffectSQUIREStandards2015?</w:t>
      </w:r>
      <w:r>
        <w:t xml:space="preserve">]</w:t>
      </w:r>
    </w:p>
    <w:p>
      <w:pPr>
        <w:pStyle w:val="BodyText"/>
      </w:pPr>
      <w:r>
        <w:t xml:space="preserve">Most made no attempt to collect feedback from authors or editors.</w:t>
      </w:r>
    </w:p>
    <w:p>
      <w:pPr>
        <w:pStyle w:val="BodyText"/>
      </w:pPr>
      <w:r>
        <w:t xml:space="preserve">Some researchers have tried to innovate to make guidelines more usable, but these innovations are not based on evidence or theory. For example,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They made some guesses for why their intervention failed. Perhaps the custom combined checklists were too long? Perhaps reporting items were not adequately explained? Perhaps intervening at revision stage was too late? But because they did not collect feedback from authors nor editors during their study, these were stabs in the dark.</w:t>
      </w:r>
    </w:p>
    <w:p>
      <w:pPr>
        <w:pStyle w:val="BodyText"/>
      </w:pPr>
      <w:r>
        <w:t xml:space="preserve">Their data did, however, reveal one unexpected insight. They had to exclude 39% of manuscripts because editors had incorrectly identified them as randomised trials when they were not, and a quarter of authors selected inappropriate extensions. Perhaps then, identifying study design and matching it to a reporting guideline is a barrier in itself.</w:t>
      </w:r>
    </w:p>
    <w:p>
      <w:pPr>
        <w:pStyle w:val="BodyText"/>
      </w:pPr>
      <w:r>
        <w:t xml:space="preserve">I am also guilty of building an intervention to fix a problem without evidence. In 2018 I worked with EQUATOR as a freelance developer to create GoodReports.org, a website where authors could fill out checklists on-line. We made this website to address three problems we believed, anecdotally, to exist. First, some guideline checklists were in unusable formats (e.g. PDFs that could not be filled). Secondly, some guidelines were being paywalls. And thirdly, we worried that some authors might struggle to identify which guideline to use. And so we made a website where checklists were fillable, all guidance was open, and a questionnaire could help authors find the right guideline. Instinctively, I tried to make the website look nice and be easy to use. But those decisions were just default developer behaviour, and I not with any kind of behaviour change in mind. We kept the checklist text and guidance text exactly the same as it is in publications.</w:t>
      </w:r>
    </w:p>
    <w:bookmarkStart w:id="26" w:name="next-steps-quoted-from-articles"/>
    <w:p>
      <w:pPr>
        <w:pStyle w:val="Heading3"/>
      </w:pPr>
      <w:r>
        <w:t xml:space="preserve">Next steps quoted from articles</w:t>
      </w:r>
    </w:p>
    <w:bookmarkStart w:id="25" w:name="X0873c829c320c5343578ff783153f2fffad7866"/>
    <w:p>
      <w:pPr>
        <w:pStyle w:val="Heading4"/>
      </w:pPr>
      <w:r>
        <w:t xml:space="preserve">Active endorsement is a common argument. But does it work and is it practical?</w:t>
      </w:r>
    </w:p>
    <w:p>
      <w:pPr>
        <w:pStyle w:val="FirstParagraph"/>
      </w:pPr>
      <w:r>
        <w:t xml:space="preserve">Hair et al.</w:t>
      </w:r>
      <w:r>
        <w:t xml:space="preserve"> </w:t>
      </w:r>
      <w:r>
        <w:t xml:space="preserve">[14]</w:t>
      </w:r>
      <w:r>
        <w:t xml:space="preserve"> </w:t>
      </w:r>
      <w:r>
        <w:t xml:space="preserve">wrote</w:t>
      </w:r>
      <w:r>
        <w:t xml:space="preserve"> </w:t>
      </w:r>
      <w:r>
        <w:t xml:space="preserve">“</w:t>
      </w:r>
      <w:r>
        <w:t xml:space="preserve">The editorial resource required to ensure that all accepted publications meet the requirements of the ARRIVE checklist is likely to be considerable</w:t>
      </w:r>
      <w:r>
        <w:t xml:space="preserve">”</w:t>
      </w:r>
      <w:r>
        <w:t xml:space="preserve"> </w:t>
      </w:r>
      <w:r>
        <w:t xml:space="preserve">and found that</w:t>
      </w:r>
      <w:r>
        <w:t xml:space="preserve"> </w:t>
      </w:r>
      <w:r>
        <w:t xml:space="preserve">“</w:t>
      </w:r>
      <w:r>
        <w:t xml:space="preserve">due to the additional time required for ARRIVE checklist requests, both the number of days manuscripts spent in the PLOS editorial office and the number of days from manuscript submission to AE assignment were found to be significantly longer in the intervention group</w:t>
      </w:r>
      <w:r>
        <w:t xml:space="preserve">”</w:t>
      </w:r>
      <w:r>
        <w:t xml:space="preserve">. Will journals shoulder increased costs in return for reporting guideline adherence? So far, few have shown any appetite to do so.</w:t>
      </w:r>
    </w:p>
    <w:bookmarkEnd w:id="25"/>
    <w:bookmarkEnd w:id="26"/>
    <w:bookmarkEnd w:id="27"/>
    <w:bookmarkStart w:id="28" w:name="Xa9321726dc5a8ead99bf65f0bee7f11b0f41758"/>
    <w:p>
      <w:pPr>
        <w:pStyle w:val="Heading2"/>
      </w:pPr>
      <w:r>
        <w:t xml:space="preserve">How behaviour change theory can help bridge the evidence gap</w:t>
      </w:r>
    </w:p>
    <w:p>
      <w:pPr>
        <w:pStyle w:val="FirstParagraph"/>
      </w:pPr>
      <w:r>
        <w:t xml:space="preserve">One reason its difficult to find a path forward is because reporting guidelines have never really been characterized as an intervention. Hereby lies another irony. Guideline developers often complain that authors don’t report interventions clearly (there’s a whole reporting guideline - TIDIER - specifically for that). Yet if an alien nation came to Earth and wanted to disseminate reporting guidance in a similar same way, they wouldn’t find a single description sufficient for replication. Sure, they would find EQUATOR’s article</w:t>
      </w:r>
      <w:r>
        <w:t xml:space="preserve"> </w:t>
      </w:r>
      <w:r>
        <w:t xml:space="preserve">[16]</w:t>
      </w:r>
      <w:r>
        <w:t xml:space="preserve"> </w:t>
      </w:r>
      <w:r>
        <w:t xml:space="preserve">on how to</w:t>
      </w:r>
      <w:r>
        <w:t xml:space="preserve"> </w:t>
      </w:r>
      <w:r>
        <w:rPr>
          <w:iCs/>
          <w:i/>
        </w:rPr>
        <w:t xml:space="preserve">develop</w:t>
      </w:r>
      <w:r>
        <w:t xml:space="preserve"> </w:t>
      </w:r>
      <w:r>
        <w:t xml:space="preserve">reporting guidelines, but that article doesn’t describe how to disseminate guidance in much detail. For example, although it recommends to craft</w:t>
      </w:r>
      <w:r>
        <w:t xml:space="preserve"> </w:t>
      </w:r>
      <w:r>
        <w:t xml:space="preserve">“</w:t>
      </w:r>
      <w:r>
        <w:t xml:space="preserve">each [reporting] item into a crisply and unambiguously worded checklist item</w:t>
      </w:r>
      <w:r>
        <w:t xml:space="preserve">”</w:t>
      </w:r>
      <w:r>
        <w:t xml:space="preserve">, it doesn’t specify what other content should be on that checklist (e.g. an introduction? Instructions on how to use it? The author list?), nor the file format (an editable Word file? A PDF?), or how the checklist should be completed (By pasting text? Entering page numbers? Ticks and crosses?). Similarly, the guidance suggests writing an accompanying Explanatory document, but doesn’t specify what content should go in it.</w:t>
      </w:r>
    </w:p>
    <w:p>
      <w:pPr>
        <w:pStyle w:val="BodyText"/>
      </w:pPr>
      <w:r>
        <w:t xml:space="preserve">Another important aspect of defining interventions is describing how it is expected to work. Here, again, EQUATOR’s guidance falls short. For example, it recommends guideline developers disseminate guidance by writing</w:t>
      </w:r>
      <w:r>
        <w:t xml:space="preserve"> </w:t>
      </w:r>
      <w:r>
        <w:t xml:space="preserve">“</w:t>
      </w:r>
      <w:r>
        <w:t xml:space="preserve">a short document of about 2,000 words reporting on the rationale for developing the guidance and the development process, including a brief description of the meeting and participants involved</w:t>
      </w:r>
      <w:r>
        <w:t xml:space="preserve">”</w:t>
      </w:r>
      <w:r>
        <w:t xml:space="preserve">. But why? How is knowing the guideline development process expected to influence behaviour? Why 2000 words? Our alien readers could probably guess, but they shouldn’t have to.</w:t>
      </w:r>
    </w:p>
    <w:p>
      <w:pPr>
        <w:pStyle w:val="BodyText"/>
      </w:pPr>
      <w:r>
        <w:t xml:space="preserve">I’m being quite critical of EQUATOR’s guidance for guideline developers. Perhaps unfairly so, as it was not intended to be an intervention definition. It is a guide, written by guideline developers with some experience under the belt, to help other prospective developers. Along the lines of</w:t>
      </w:r>
      <w:r>
        <w:t xml:space="preserve"> </w:t>
      </w:r>
      <w:r>
        <w:rPr>
          <w:iCs/>
          <w:i/>
        </w:rPr>
        <w:t xml:space="preserve">this is the best way we found to do it, so you might want to do it this way too</w:t>
      </w:r>
      <w:r>
        <w:t xml:space="preserve">.</w:t>
      </w:r>
    </w:p>
    <w:p>
      <w:pPr>
        <w:pStyle w:val="BodyText"/>
      </w:pPr>
      <w:r>
        <w:t xml:space="preserve">The guidance for guidelines developers was published in 2010. I get the impression that nobody was really thinking of reporting guidelines as an intervention per say back then.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EQUATOR’s training courses</w:t>
      </w:r>
      <w:r>
        <w:t xml:space="preserve"> </w:t>
      </w:r>
      <w:r>
        <w:t xml:space="preserve">“</w:t>
      </w:r>
      <w:r>
        <w:t xml:space="preserve">target</w:t>
      </w:r>
      <w:r>
        <w:t xml:space="preserve">”</w:t>
      </w:r>
      <w:r>
        <w:t xml:space="preserve"> </w:t>
      </w:r>
      <w:r>
        <w:t xml:space="preserve">editors and authors, but nowhere does he call them interventions. Other studies call them</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w:t>
      </w:r>
    </w:p>
    <w:p>
      <w:pPr>
        <w:pStyle w:val="BodyText"/>
      </w:pPr>
      <w:r>
        <w:t xml:space="preserve">At the start of this chapter I illustrated how reporting guidelines came into being. The process was slow, grass-roots, and it was driven by lots of groups of people doing what they felt was sensible. This movement has generated guidance publications, checklists, websites, training; it has influenced editors, peer reviewers, and journal policies. The effectiveness of reporting guidelines rests on more that just the individual sets of guidance. It rests on the entirity of this system. All the different parts.</w:t>
      </w:r>
    </w:p>
    <w:p>
      <w:pPr>
        <w:pStyle w:val="BodyText"/>
      </w:pPr>
      <w:r>
        <w:t xml:space="preserve">What do these parts have in common? All of them - the guidelines, the checklists, peer reviewer feedback, editorial checks, websites - they all ultimately seek to influence what and how authors write. The reporting guideline community has created something that in health care would be called a complex behaviour change intervention. That’s why I have chosen to use a behaviour change approach.</w:t>
      </w:r>
    </w:p>
    <w:p>
      <w:pPr>
        <w:pStyle w:val="BodyText"/>
      </w:pPr>
      <w:r>
        <w:t xml:space="preserve">So why do I feel confident calling reporting guidelines part of a complex behaviour change intervention? According to the Medical Research Council….</w:t>
      </w:r>
    </w:p>
    <w:p>
      <w:pPr>
        <w:numPr>
          <w:ilvl w:val="0"/>
          <w:numId w:val="1001"/>
        </w:numPr>
        <w:pStyle w:val="Compact"/>
      </w:pPr>
      <w:r>
        <w:t xml:space="preserve">explain why complex (number of parts, heterogeneity)</w:t>
      </w:r>
    </w:p>
    <w:p>
      <w:pPr>
        <w:numPr>
          <w:ilvl w:val="0"/>
          <w:numId w:val="1001"/>
        </w:numPr>
        <w:pStyle w:val="Compact"/>
      </w:pPr>
      <w:r>
        <w:t xml:space="preserve">explain why behaviour</w:t>
      </w:r>
    </w:p>
    <w:p>
      <w:pPr>
        <w:pStyle w:val="SourceCode"/>
      </w:pPr>
      <w:r>
        <w:br/>
      </w:r>
    </w:p>
    <w:p>
      <w:pPr>
        <w:pStyle w:val="SourceCode"/>
      </w:pPr>
      <w:r>
        <w:rPr>
          <w:rStyle w:val="VerbatimChar"/>
        </w:rPr>
        <w:t xml:space="preserve">It's common for behaviour change initiatives to begin in this organic, messy way. </w:t>
      </w:r>
      <w:r>
        <w:br/>
      </w:r>
      <w:r>
        <w:br/>
      </w:r>
      <w:r>
        <w:rPr>
          <w:rStyle w:val="VerbatimChar"/>
        </w:rPr>
        <w:t xml:space="preserve">Give examples</w:t>
      </w:r>
      <w:r>
        <w:br/>
      </w:r>
      <w:r>
        <w:br/>
      </w:r>
      <w:r>
        <w:rPr>
          <w:rStyle w:val="VerbatimChar"/>
        </w:rPr>
        <w:t xml:space="preserve">Give examples of how formalization can lead to better effectiveness. </w:t>
      </w:r>
    </w:p>
    <w:bookmarkEnd w:id="28"/>
    <w:bookmarkStart w:id="29"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which were created by the research community in the hopes that they would improve reporting quality, and I’ve revealed that, sadly, these guidelines have had only a modest effect on reporting quality, at best.</w:t>
      </w:r>
    </w:p>
    <w:p>
      <w:pPr>
        <w:pStyle w:val="BodyText"/>
      </w:pPr>
      <w:r>
        <w:t xml:space="preserve">I’ve argued that reporting guidelines and the system of tools, publications, websites, and people that disseminate them, are a complex behaviour change intervention, with the ultimate goal of altering what authors write.</w:t>
      </w:r>
    </w:p>
    <w:p>
      <w:pPr>
        <w:pStyle w:val="BodyText"/>
      </w:pPr>
      <w:r>
        <w:t xml:space="preserve">And I’ve explained how behaviour change theory may help bridge the evidence gap: that although we know reporting guidelines haven’t fixed reporting quality, we don’t know</w:t>
      </w:r>
      <w:r>
        <w:t xml:space="preserve"> </w:t>
      </w:r>
      <w:r>
        <w:rPr>
          <w:iCs/>
          <w:i/>
        </w:rPr>
        <w:t xml:space="preserve">why</w:t>
      </w:r>
      <w:r>
        <w:t xml:space="preserve"> </w:t>
      </w:r>
      <w:r>
        <w:t xml:space="preserve">their effect is limited, or</w:t>
      </w:r>
      <w:r>
        <w:t xml:space="preserve"> </w:t>
      </w:r>
      <w:r>
        <w:rPr>
          <w:iCs/>
          <w:i/>
        </w:rPr>
        <w:t xml:space="preserve">how</w:t>
      </w:r>
      <w:r>
        <w:t xml:space="preserve"> </w:t>
      </w:r>
      <w:r>
        <w:t xml:space="preserve">they could be improved.</w:t>
      </w:r>
    </w:p>
    <w:bookmarkEnd w:id="29"/>
    <w:bookmarkStart w:id="30" w:name="aims-and-objectives"/>
    <w:p>
      <w:pPr>
        <w:pStyle w:val="Heading2"/>
      </w:pPr>
      <w:r>
        <w:t xml:space="preserve">Aims and Objectives</w:t>
      </w:r>
    </w:p>
    <w:p>
      <w:pPr>
        <w:pStyle w:val="FirstParagraph"/>
      </w:pPr>
      <w:r>
        <w:t xml:space="preserve">My aim, therefore, is to understand why reporting guidelines have not had a bigger impact on reporting quality, and to address these issues.</w:t>
      </w:r>
    </w:p>
    <w:p>
      <w:pPr>
        <w:pStyle w:val="BodyText"/>
      </w:pPr>
      <w:r>
        <w:t xml:space="preserve">My objectives are:</w:t>
      </w:r>
    </w:p>
    <w:p>
      <w:pPr>
        <w:numPr>
          <w:ilvl w:val="0"/>
          <w:numId w:val="1002"/>
        </w:numPr>
        <w:pStyle w:val="Compact"/>
      </w:pPr>
      <w:r>
        <w:t xml:space="preserve">To identify factors that may limit reporting guideline impact by synthesising existing research and by evaluating the EQUATOR Network website (addressed in chapters 3)</w:t>
      </w:r>
    </w:p>
    <w:p>
      <w:pPr>
        <w:numPr>
          <w:ilvl w:val="0"/>
          <w:numId w:val="1002"/>
        </w:numPr>
        <w:pStyle w:val="Compact"/>
      </w:pPr>
      <w:r>
        <w:t xml:space="preserve">To work with key stakeholders to identify intervention changes to address these limiting factors (addressed in chapters 6)</w:t>
      </w:r>
    </w:p>
    <w:p>
      <w:pPr>
        <w:numPr>
          <w:ilvl w:val="0"/>
          <w:numId w:val="1002"/>
        </w:numPr>
        <w:pStyle w:val="Compact"/>
      </w:pPr>
      <w:r>
        <w:t xml:space="preserve">To implement these changes (described in </w:t>
      </w:r>
      <w:r>
        <w:rPr>
          <w:bCs/>
          <w:b/>
        </w:rPr>
        <w:t xml:space="preserve">?var:chapters.development</w:t>
      </w:r>
      <w:r>
        <w:t xml:space="preserve">)</w:t>
      </w:r>
    </w:p>
    <w:p>
      <w:pPr>
        <w:numPr>
          <w:ilvl w:val="0"/>
          <w:numId w:val="1002"/>
        </w:numPr>
        <w:pStyle w:val="Compact"/>
      </w:pPr>
      <w:r>
        <w:t xml:space="preserve">To refine the new intervention in response to feedback from authors (addressed in chapter 11)</w:t>
      </w:r>
    </w:p>
    <w:bookmarkEnd w:id="30"/>
    <w:bookmarkStart w:id="74" w:name="thesis-structure"/>
    <w:p>
      <w:pPr>
        <w:pStyle w:val="Heading2"/>
      </w:pPr>
      <w:r>
        <w:t xml:space="preserve">Thesis structure</w:t>
      </w:r>
    </w:p>
    <w:p>
      <w:pPr>
        <w:pStyle w:val="FirstParagraph"/>
      </w:pPr>
      <w:r>
        <w:t xml:space="preserve">Summary</w:t>
      </w:r>
    </w:p>
    <w:bookmarkStart w:id="31" w:name="Xb117b6c7f57b5966616c155602e198c858db96c"/>
    <w:p>
      <w:pPr>
        <w:pStyle w:val="Heading3"/>
      </w:pPr>
      <w:r>
        <w:t xml:space="preserve">Chapter </w:t>
      </w:r>
      <w:r>
        <w:rPr>
          <w:bCs/>
          <w:b/>
        </w:rPr>
        <w:t xml:space="preserve">?var:chapters.reflexivity</w:t>
      </w:r>
      <w:r>
        <w:t xml:space="preserve"> - Reflexivity and context</w:t>
      </w:r>
    </w:p>
    <w:p>
      <w:pPr>
        <w:pStyle w:val="FirstParagraph"/>
      </w:pPr>
      <w:r>
        <w:t xml:space="preserve">I reflect on my background and my prior held opinions, and those of my supervision team, and how these may have influenced the direction of this thesis.</w:t>
      </w:r>
    </w:p>
    <w:bookmarkEnd w:id="31"/>
    <w:bookmarkStart w:id="32" w:name="X7e3ee4fffdf63d76a5df065eb4df129c3055740"/>
    <w:p>
      <w:pPr>
        <w:pStyle w:val="Heading3"/>
      </w:pPr>
      <w:r>
        <w:t xml:space="preserve">Chapter 3 - </w:t>
      </w:r>
      <w:r>
        <w:rPr>
          <w:bCs/>
          <w:b/>
        </w:rPr>
        <w:t xml:space="preserve">?var:titles.synthesis</w:t>
      </w:r>
    </w:p>
    <w:p>
      <w:pPr>
        <w:pStyle w:val="FirstParagraph"/>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bookmarkEnd w:id="32"/>
    <w:bookmarkStart w:id="33" w:name="Xc6fa147af0af44df1a6245c7971b39d2eeb376b"/>
    <w:p>
      <w:pPr>
        <w:pStyle w:val="Heading3"/>
      </w:pPr>
      <w:r>
        <w:t xml:space="preserve">Chapter 4 - </w:t>
      </w:r>
      <w:r>
        <w:rPr>
          <w:bCs/>
          <w:b/>
        </w:rPr>
        <w:t xml:space="preserve">?var:titles.review</w:t>
      </w:r>
    </w:p>
    <w:p>
      <w:pPr>
        <w:pStyle w:val="FirstParagraph"/>
      </w:pPr>
      <w:r>
        <w:t xml:space="preserve">This chapter builds on the previous one by identifying additional possible influences from the content of quantitative survey questions.</w:t>
      </w:r>
    </w:p>
    <w:bookmarkEnd w:id="33"/>
    <w:bookmarkStart w:id="34" w:name="X288fa1ad8f8ccdd65375e2ff1435ce8e45c6d00"/>
    <w:p>
      <w:pPr>
        <w:pStyle w:val="Heading3"/>
      </w:pPr>
      <w:r>
        <w:t xml:space="preserve">Chapter </w:t>
      </w:r>
      <w:r>
        <w:rPr>
          <w:bCs/>
          <w:b/>
        </w:rPr>
        <w:t xml:space="preserve">?var:chapters.website</w:t>
      </w:r>
      <w:r>
        <w:t xml:space="preserve"> - </w:t>
      </w:r>
      <w:r>
        <w:rPr>
          <w:bCs/>
          <w:b/>
        </w:rPr>
        <w:t xml:space="preserve">?var:titles.website</w:t>
      </w:r>
    </w:p>
    <w:p>
      <w:pPr>
        <w:pStyle w:val="FirstParagraph"/>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bookmarkEnd w:id="34"/>
    <w:bookmarkStart w:id="35" w:name="X9c0dab38a38a0ea0c5649e18c2b7a7633976965"/>
    <w:p>
      <w:pPr>
        <w:pStyle w:val="Heading3"/>
      </w:pPr>
      <w:r>
        <w:t xml:space="preserve">Chapter 6 - </w:t>
      </w:r>
      <w:r>
        <w:rPr>
          <w:bCs/>
          <w:b/>
        </w:rPr>
        <w:t xml:space="preserve">?var:titles.bcw</w:t>
      </w:r>
    </w:p>
    <w:p>
      <w:pPr>
        <w:pStyle w:val="FirstParagraph"/>
      </w:pPr>
      <w:r>
        <w:t xml:space="preserve">The next 4 chapters pertain to my second objective - identifying intervention changes. This chapter introduces the Behaviour Change Wheel, which is a framework for designing and defining behaviour change interventions.</w:t>
      </w:r>
    </w:p>
    <w:bookmarkEnd w:id="35"/>
    <w:bookmarkStart w:id="36" w:name="Xc49d6a1fd1dbee99179982aead5f54e09008e7f"/>
    <w:p>
      <w:pPr>
        <w:pStyle w:val="Heading3"/>
      </w:pPr>
      <w:r>
        <w:t xml:space="preserve">Chapter 7 - </w:t>
      </w:r>
      <w:r>
        <w:rPr>
          <w:bCs/>
          <w:b/>
        </w:rPr>
        <w:t xml:space="preserve">?var:titles.workshops</w:t>
      </w:r>
    </w:p>
    <w:p>
      <w:pPr>
        <w:pStyle w:val="FirstParagraph"/>
      </w:pPr>
      <w:r>
        <w:t xml:space="preserve">This chapter describes how I lead workshops with members of the UK EQUATOR center to identify intervention options using Behaviour Change Wheel framework.</w:t>
      </w:r>
    </w:p>
    <w:bookmarkEnd w:id="36"/>
    <w:bookmarkStart w:id="37" w:name="X3b419a1fa78ad62f66a2c9a0058abab2445021a"/>
    <w:p>
      <w:pPr>
        <w:pStyle w:val="Heading3"/>
      </w:pPr>
      <w:r>
        <w:t xml:space="preserve">Chapter 8 - </w:t>
      </w:r>
      <w:r>
        <w:rPr>
          <w:bCs/>
          <w:b/>
        </w:rPr>
        <w:t xml:space="preserve">?var:titles.focus-groups</w:t>
      </w:r>
    </w:p>
    <w:p>
      <w:pPr>
        <w:pStyle w:val="FirstParagraph"/>
      </w:pPr>
      <w:r>
        <w:t xml:space="preserve">This chapter reports focus groups where I collected ideas on how intervention options could be realised.</w:t>
      </w:r>
    </w:p>
    <w:bookmarkEnd w:id="37"/>
    <w:bookmarkStart w:id="38" w:name="X7182f43f6ce0a4d6beca5a9b43673a43cf9811e"/>
    <w:p>
      <w:pPr>
        <w:pStyle w:val="Heading3"/>
      </w:pPr>
      <w:r>
        <w:t xml:space="preserve">Chapter </w:t>
      </w:r>
      <w:r>
        <w:rPr>
          <w:bCs/>
          <w:b/>
        </w:rPr>
        <w:t xml:space="preserve">?var:chapters.behavioural-analysis</w:t>
      </w:r>
      <w:r>
        <w:t xml:space="preserve"> - </w:t>
      </w:r>
      <w:r>
        <w:rPr>
          <w:bCs/>
          <w:b/>
        </w:rPr>
        <w:t xml:space="preserve">?var:titles.behavioural-analysis</w:t>
      </w:r>
    </w:p>
    <w:p>
      <w:pPr>
        <w:pStyle w:val="FirstParagraph"/>
      </w:pPr>
      <w:r>
        <w:t xml:space="preserve">In this chapter, I bring together the outputs of the previous two chapters to create a table of intervention components and logic model.</w:t>
      </w:r>
    </w:p>
    <w:bookmarkEnd w:id="38"/>
    <w:bookmarkStart w:id="39" w:name="Xac9b4f5e24c735c88f8b80479d634678c54413f"/>
    <w:p>
      <w:pPr>
        <w:pStyle w:val="Heading3"/>
      </w:pPr>
      <w:r>
        <w:t xml:space="preserve">Chapter </w:t>
      </w:r>
      <w:r>
        <w:rPr>
          <w:bCs/>
          <w:b/>
        </w:rPr>
        <w:t xml:space="preserve">?var:chapters.development</w:t>
      </w:r>
      <w:r>
        <w:t xml:space="preserve"> - </w:t>
      </w:r>
      <w:r>
        <w:rPr>
          <w:bCs/>
          <w:b/>
        </w:rPr>
        <w:t xml:space="preserve">?var:titles.development</w:t>
      </w:r>
    </w:p>
    <w:p>
      <w:pPr>
        <w:pStyle w:val="FirstParagraph"/>
      </w:pPr>
      <w:r>
        <w:t xml:space="preserve">This chapter concerns my third objective, implementing the intervention changes by redesigning a reporting guideline (SRQR) and the EQUATOR Network website’s home page.</w:t>
      </w:r>
    </w:p>
    <w:bookmarkEnd w:id="39"/>
    <w:bookmarkStart w:id="73" w:name="X10939fd8143aaf92911e295de472341c58c88b9"/>
    <w:p>
      <w:pPr>
        <w:pStyle w:val="Heading3"/>
      </w:pPr>
      <w:r>
        <w:t xml:space="preserve">Chapter 11 - </w:t>
      </w:r>
      <w:r>
        <w:rPr>
          <w:bCs/>
          <w:b/>
        </w:rPr>
        <w:t xml:space="preserve">?var:titles.pilot</w:t>
      </w:r>
    </w:p>
    <w:p>
      <w:pPr>
        <w:pStyle w:val="FirstParagraph"/>
      </w:pPr>
      <w:r>
        <w:t xml:space="preserve">In this chapter I address my final objective, which was to refine the intervention in response to feedback from authors. I describe a qualitative study where I used observation, think aloud, structured interviews, and a writing evaluation, to gather feedback from an international sample of authors.</w:t>
      </w:r>
    </w:p>
    <w:bookmarkStart w:id="72" w:name="refs"/>
    <w:bookmarkStart w:id="41" w:name="Xb247311f124d5b50fbaa44c342a49809750f5a9"/>
    <w:p>
      <w:pPr>
        <w:pStyle w:val="Bibliography"/>
      </w:pPr>
      <w:r>
        <w:t xml:space="preserve">1.</w:t>
      </w:r>
      <w:r>
        <w:t xml:space="preserve"> </w:t>
      </w:r>
      <w:r>
        <w:t xml:space="preserve">	</w:t>
      </w:r>
      <w:r>
        <w:t xml:space="preserve">Glick BS (1963)</w:t>
      </w:r>
      <w:r>
        <w:t xml:space="preserve"> </w:t>
      </w:r>
      <w:hyperlink r:id="rId40">
        <w:r>
          <w:rPr>
            <w:rStyle w:val="Hyperlink"/>
          </w:rPr>
          <w:t xml:space="preserve">Inadequacies in the reporting of clinical drug research</w:t>
        </w:r>
      </w:hyperlink>
      <w:r>
        <w:t xml:space="preserve">. The Psychiatric Quarterly 37:234–244</w:t>
      </w:r>
    </w:p>
    <w:bookmarkEnd w:id="41"/>
    <w:bookmarkStart w:id="4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4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3"/>
    <w:bookmarkStart w:id="45" w:name="ref-carpSecretLivesExperiments2012"/>
    <w:p>
      <w:pPr>
        <w:pStyle w:val="Bibliography"/>
      </w:pPr>
      <w:r>
        <w:t xml:space="preserve">3.</w:t>
      </w:r>
      <w:r>
        <w:t xml:space="preserve"> </w:t>
      </w:r>
      <w:r>
        <w:t xml:space="preserve">	</w:t>
      </w:r>
      <w:r>
        <w:t xml:space="preserve">Carp J (2012)</w:t>
      </w:r>
      <w:r>
        <w:t xml:space="preserve"> </w:t>
      </w:r>
      <w:hyperlink r:id="rId44">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45"/>
    <w:bookmarkStart w:id="47" w:name="ref-glasziouWhatMissingDescriptions2008"/>
    <w:p>
      <w:pPr>
        <w:pStyle w:val="Bibliography"/>
      </w:pPr>
      <w:r>
        <w:t xml:space="preserve">4.</w:t>
      </w:r>
      <w:r>
        <w:t xml:space="preserve"> </w:t>
      </w:r>
      <w:r>
        <w:t xml:space="preserve">	</w:t>
      </w:r>
      <w:r>
        <w:t xml:space="preserve">Glasziou P, Meats E, Heneghan C, Shepperd S (2008)</w:t>
      </w:r>
      <w:r>
        <w:t xml:space="preserve"> </w:t>
      </w:r>
      <w:hyperlink r:id="rId46">
        <w:r>
          <w:rPr>
            <w:rStyle w:val="Hyperlink"/>
          </w:rPr>
          <w:t xml:space="preserve">What is missing from descriptions of treatment in trials and reviews?</w:t>
        </w:r>
      </w:hyperlink>
      <w:r>
        <w:t xml:space="preserve"> BMJ 336:1472–1474</w:t>
      </w:r>
    </w:p>
    <w:bookmarkEnd w:id="47"/>
    <w:bookmarkStart w:id="49" w:name="X1e38992eb720cb5df8e971632c764377a614cf3"/>
    <w:p>
      <w:pPr>
        <w:pStyle w:val="Bibliography"/>
      </w:pPr>
      <w:r>
        <w:t xml:space="preserve">5.</w:t>
      </w:r>
      <w:r>
        <w:t xml:space="preserve"> </w:t>
      </w:r>
      <w:r>
        <w:t xml:space="preserve">	</w:t>
      </w:r>
      <w:r>
        <w:t xml:space="preserve">Feinstein AR (1974)</w:t>
      </w:r>
      <w:r>
        <w:t xml:space="preserve"> </w:t>
      </w:r>
      <w:hyperlink r:id="rId48">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49"/>
    <w:bookmarkStart w:id="51" w:name="ref-davidsonExerciseInterventionsLow2021"/>
    <w:p>
      <w:pPr>
        <w:pStyle w:val="Bibliography"/>
      </w:pPr>
      <w:r>
        <w:t xml:space="preserve">6.</w:t>
      </w:r>
      <w:r>
        <w:t xml:space="preserve"> </w:t>
      </w:r>
      <w:r>
        <w:t xml:space="preserve">	</w:t>
      </w:r>
      <w:r>
        <w:t xml:space="preserve">Davidson SRE, Kamper SJ, Haskins R, Robson E, Gleadhill C, da Silva PV, Williams A, Yu Z, Williams CM (2021)</w:t>
      </w:r>
      <w:r>
        <w:t xml:space="preserve"> </w:t>
      </w:r>
      <w:hyperlink r:id="rId50">
        <w:r>
          <w:rPr>
            <w:rStyle w:val="Hyperlink"/>
          </w:rPr>
          <w:t xml:space="preserve">Exercise interventions for low back pain are poorly reported: A systematic review</w:t>
        </w:r>
      </w:hyperlink>
      <w:r>
        <w:t xml:space="preserve">. Journal of Clinical Epidemiology 139:279–286</w:t>
      </w:r>
    </w:p>
    <w:bookmarkEnd w:id="51"/>
    <w:bookmarkStart w:id="53" w:name="ref-santoMethodsResultsStudies2023"/>
    <w:p>
      <w:pPr>
        <w:pStyle w:val="Bibliography"/>
      </w:pPr>
      <w:r>
        <w:t xml:space="preserve">7.</w:t>
      </w:r>
      <w:r>
        <w:t xml:space="preserve"> </w:t>
      </w:r>
      <w:r>
        <w:t xml:space="preserve">	</w:t>
      </w:r>
      <w:r>
        <w:t xml:space="preserve">Santo TD, Rice DB, Amiri LSN, Tasleem A, Li K, Boruff JT, Geoffroy M-C, Benedetti A, Thombs BD (2023)</w:t>
      </w:r>
      <w:r>
        <w:t xml:space="preserve"> </w:t>
      </w:r>
      <w:hyperlink r:id="rId52">
        <w:r>
          <w:rPr>
            <w:rStyle w:val="Hyperlink"/>
          </w:rPr>
          <w:t xml:space="preserve">Methods and results of studies on reporting guideline adherence are poorly reported: A meta-research study</w:t>
        </w:r>
      </w:hyperlink>
      <w:r>
        <w:t xml:space="preserve">. Journal of Clinical Epidemiology 159:225–234</w:t>
      </w:r>
    </w:p>
    <w:bookmarkEnd w:id="53"/>
    <w:bookmarkStart w:id="55" w:name="ref-caulleyCitationImpactWas2020"/>
    <w:p>
      <w:pPr>
        <w:pStyle w:val="Bibliography"/>
      </w:pPr>
      <w:r>
        <w:t xml:space="preserve">8.</w:t>
      </w:r>
      <w:r>
        <w:t xml:space="preserve"> </w:t>
      </w:r>
      <w:r>
        <w:t xml:space="preserve">	</w:t>
      </w:r>
      <w:r>
        <w:t xml:space="preserve">Caulley L, Cheng W, Catalá-López F, Whelan J, Khoury M, Ferraro J, Husereau D, Altman DG, Moher D (2020)</w:t>
      </w:r>
      <w:r>
        <w:t xml:space="preserve"> </w:t>
      </w:r>
      <w:hyperlink r:id="rId54">
        <w:r>
          <w:rPr>
            <w:rStyle w:val="Hyperlink"/>
          </w:rPr>
          <w:t xml:space="preserve">Citation impact was highly variable for reporting guidelines of health research: A citation analysis</w:t>
        </w:r>
      </w:hyperlink>
      <w:r>
        <w:t xml:space="preserve">. Journal of Clinical Epidemiology 127:96–104</w:t>
      </w:r>
    </w:p>
    <w:bookmarkEnd w:id="55"/>
    <w:bookmarkStart w:id="57" w:name="X15f457acbcc220a11e3cba81d4db041b8fd03d8"/>
    <w:p>
      <w:pPr>
        <w:pStyle w:val="Bibliography"/>
      </w:pPr>
      <w:r>
        <w:t xml:space="preserve">9.</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56">
        <w:r>
          <w:rPr>
            <w:rStyle w:val="Hyperlink"/>
          </w:rPr>
          <w:t xml:space="preserve">https://doi.org/10.1016/j.jclinepi.2023.08.004</w:t>
        </w:r>
      </w:hyperlink>
    </w:p>
    <w:bookmarkEnd w:id="57"/>
    <w:bookmarkStart w:id="59" w:name="X0fbbaa3f32946f939e2a1d4cf7b239bbeb353e6"/>
    <w:p>
      <w:pPr>
        <w:pStyle w:val="Bibliography"/>
      </w:pPr>
      <w:r>
        <w:t xml:space="preserve">10.</w:t>
      </w:r>
      <w:r>
        <w:t xml:space="preserve"> </w:t>
      </w:r>
      <w:r>
        <w:t xml:space="preserve">	</w:t>
      </w:r>
      <w:r>
        <w:t xml:space="preserve">de Jong Y, van der Willik EM, Milders J, Voorend CGN, Morton RL, Dekker FW, Meuleman Y, van Diepen M (2021)</w:t>
      </w:r>
      <w:r>
        <w:t xml:space="preserve"> </w:t>
      </w:r>
      <w:hyperlink r:id="rId58">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59"/>
    <w:bookmarkStart w:id="61" w:name="X2b83d62296f34bf67e0734121aba85eff73327d"/>
    <w:p>
      <w:pPr>
        <w:pStyle w:val="Bibliography"/>
      </w:pPr>
      <w:r>
        <w:t xml:space="preserve">11.</w:t>
      </w:r>
      <w:r>
        <w:t xml:space="preserve"> </w:t>
      </w:r>
      <w:r>
        <w:t xml:space="preserve">	</w:t>
      </w:r>
      <w:r>
        <w:t xml:space="preserve">Nedovic D, Panic N, Pastorino R, Ricciardi W, Boccia S (2016)</w:t>
      </w:r>
      <w:r>
        <w:t xml:space="preserve"> </w:t>
      </w:r>
      <w:hyperlink r:id="rId60">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61"/>
    <w:bookmarkStart w:id="63" w:name="X1c9d57f75a0fa718f061cba0beeb115706f462f"/>
    <w:p>
      <w:pPr>
        <w:pStyle w:val="Bibliography"/>
      </w:pPr>
      <w:r>
        <w:t xml:space="preserve">12.</w:t>
      </w:r>
      <w:r>
        <w:t xml:space="preserve"> </w:t>
      </w:r>
      <w:r>
        <w:t xml:space="preserve">	</w:t>
      </w:r>
      <w:r>
        <w:t xml:space="preserve">Pouwels KB, Widyakusuma NN, Groenwold RHH, Hak E (2016)</w:t>
      </w:r>
      <w:r>
        <w:t xml:space="preserve"> </w:t>
      </w:r>
      <w:hyperlink r:id="rId6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63"/>
    <w:bookmarkStart w:id="65" w:name="X1215944d87e3e34f270283b97080549ea440566"/>
    <w:p>
      <w:pPr>
        <w:pStyle w:val="Bibliography"/>
      </w:pPr>
      <w:r>
        <w:t xml:space="preserve">13.</w:t>
      </w:r>
      <w:r>
        <w:t xml:space="preserve"> </w:t>
      </w:r>
      <w:r>
        <w:t xml:space="preserve">	</w:t>
      </w:r>
      <w:r>
        <w:t xml:space="preserve">Bastuji-Garin S, Sbidian E, Gaudy-Marqueste C, Ferrat E, Roujeau J-C, Richard M-A, Canoui-Poitrine F, European Dermatology Network (EDEN) (2013)</w:t>
      </w:r>
      <w:r>
        <w:t xml:space="preserve"> </w:t>
      </w:r>
      <w:hyperlink r:id="rId6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65"/>
    <w:bookmarkStart w:id="67" w:name="ref-hairRandomisedControlledTrial2019"/>
    <w:p>
      <w:pPr>
        <w:pStyle w:val="Bibliography"/>
      </w:pPr>
      <w:r>
        <w:t xml:space="preserve">14.</w:t>
      </w:r>
      <w:r>
        <w:t xml:space="preserve"> </w:t>
      </w:r>
      <w:r>
        <w:t xml:space="preserve">	</w:t>
      </w:r>
      <w:r>
        <w:t xml:space="preserve">Hair K, Macleod MR, Sena ES, et al (2019)</w:t>
      </w:r>
      <w:r>
        <w:t xml:space="preserve"> </w:t>
      </w:r>
      <w:hyperlink r:id="rId6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67"/>
    <w:bookmarkStart w:id="69" w:name="ref-jinDoesMedicalLiterature2018"/>
    <w:p>
      <w:pPr>
        <w:pStyle w:val="Bibliography"/>
      </w:pPr>
      <w:r>
        <w:t xml:space="preserve">15.</w:t>
      </w:r>
      <w:r>
        <w:t xml:space="preserve"> </w:t>
      </w:r>
      <w:r>
        <w:t xml:space="preserve">	</w:t>
      </w:r>
      <w:r>
        <w:t xml:space="preserve">Jin Y, Sanger N, Shams I, et al (2018)</w:t>
      </w:r>
      <w:r>
        <w:t xml:space="preserve"> </w:t>
      </w:r>
      <w:hyperlink r:id="rId68">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69"/>
    <w:bookmarkStart w:id="71" w:name="ref-moherGuidanceDevelopersHealth2010"/>
    <w:p>
      <w:pPr>
        <w:pStyle w:val="Bibliography"/>
      </w:pPr>
      <w:r>
        <w:t xml:space="preserve">16.</w:t>
      </w:r>
      <w:r>
        <w:t xml:space="preserve"> </w:t>
      </w:r>
      <w:r>
        <w:t xml:space="preserve">	</w:t>
      </w:r>
      <w:r>
        <w:t xml:space="preserve">Moher D, Schulz KF, Simera I, Altman DG (2010)</w:t>
      </w:r>
      <w:r>
        <w:t xml:space="preserve"> </w:t>
      </w:r>
      <w:hyperlink r:id="rId70">
        <w:r>
          <w:rPr>
            <w:rStyle w:val="Hyperlink"/>
          </w:rPr>
          <w:t xml:space="preserve">Guidance for developers of health research reporting guidelines</w:t>
        </w:r>
      </w:hyperlink>
      <w:r>
        <w:t xml:space="preserve">. PLOS Medicine 7:e1000217</w:t>
      </w:r>
    </w:p>
    <w:bookmarkEnd w:id="71"/>
    <w:bookmarkEnd w:id="72"/>
    <w:bookmarkEnd w:id="73"/>
    <w:bookmarkEnd w:id="74"/>
    <w:bookmarkEnd w:id="7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02/cpt197415197" TargetMode="External" /><Relationship Type="http://schemas.openxmlformats.org/officeDocument/2006/relationships/hyperlink" Id="rId40" Target="https://doi.org/10.1007/BF01562195" TargetMode="External" /><Relationship Type="http://schemas.openxmlformats.org/officeDocument/2006/relationships/hyperlink" Id="rId62" Target="https://doi.org/10.1016/j.jclinepi.2015.08.009" TargetMode="External" /><Relationship Type="http://schemas.openxmlformats.org/officeDocument/2006/relationships/hyperlink" Id="rId54" Target="https://doi.org/10.1016/j.jclinepi.2020.07.013" TargetMode="External" /><Relationship Type="http://schemas.openxmlformats.org/officeDocument/2006/relationships/hyperlink" Id="rId50" Target="https://doi.org/10.1016/j.jclinepi.2021.05.020" TargetMode="External" /><Relationship Type="http://schemas.openxmlformats.org/officeDocument/2006/relationships/hyperlink" Id="rId52" Target="https://doi.org/10.1016/j.jclinepi.2023.05.017" TargetMode="External" /><Relationship Type="http://schemas.openxmlformats.org/officeDocument/2006/relationships/hyperlink" Id="rId56" Target="https://doi.org/10.1016/j.jclinepi.2023.08.004" TargetMode="External" /><Relationship Type="http://schemas.openxmlformats.org/officeDocument/2006/relationships/hyperlink" Id="rId44" Target="https://doi.org/10.1016/j.neuroimage.2012.07.004" TargetMode="External" /><Relationship Type="http://schemas.openxmlformats.org/officeDocument/2006/relationships/hyperlink" Id="rId46" Target="https://doi.org/10.1136/bmj.39590.732037.47" TargetMode="External" /><Relationship Type="http://schemas.openxmlformats.org/officeDocument/2006/relationships/hyperlink" Id="rId42" Target="https://doi.org/10.1136/bmj.j2490" TargetMode="External" /><Relationship Type="http://schemas.openxmlformats.org/officeDocument/2006/relationships/hyperlink" Id="rId58" Target="https://doi.org/10.1186/s12874-021-01363-1" TargetMode="External" /><Relationship Type="http://schemas.openxmlformats.org/officeDocument/2006/relationships/hyperlink" Id="rId66" Target="https://doi.org/10.1186/s41073-019-0069-3" TargetMode="External" /><Relationship Type="http://schemas.openxmlformats.org/officeDocument/2006/relationships/hyperlink" Id="rId70" Target="https://doi.org/10.1371/journal.pmed.1000217" TargetMode="External" /><Relationship Type="http://schemas.openxmlformats.org/officeDocument/2006/relationships/hyperlink" Id="rId64" Target="https://doi.org/10.1371/journal.pone.0064733" TargetMode="External" /><Relationship Type="http://schemas.openxmlformats.org/officeDocument/2006/relationships/hyperlink" Id="rId68" Target="https://doi.org/10.2147/JMDH.S155103" TargetMode="External" /><Relationship Type="http://schemas.openxmlformats.org/officeDocument/2006/relationships/hyperlink" Id="rId60"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2/cpt197415197" TargetMode="External" /><Relationship Type="http://schemas.openxmlformats.org/officeDocument/2006/relationships/hyperlink" Id="rId40" Target="https://doi.org/10.1007/BF01562195" TargetMode="External" /><Relationship Type="http://schemas.openxmlformats.org/officeDocument/2006/relationships/hyperlink" Id="rId62" Target="https://doi.org/10.1016/j.jclinepi.2015.08.009" TargetMode="External" /><Relationship Type="http://schemas.openxmlformats.org/officeDocument/2006/relationships/hyperlink" Id="rId54" Target="https://doi.org/10.1016/j.jclinepi.2020.07.013" TargetMode="External" /><Relationship Type="http://schemas.openxmlformats.org/officeDocument/2006/relationships/hyperlink" Id="rId50" Target="https://doi.org/10.1016/j.jclinepi.2021.05.020" TargetMode="External" /><Relationship Type="http://schemas.openxmlformats.org/officeDocument/2006/relationships/hyperlink" Id="rId52" Target="https://doi.org/10.1016/j.jclinepi.2023.05.017" TargetMode="External" /><Relationship Type="http://schemas.openxmlformats.org/officeDocument/2006/relationships/hyperlink" Id="rId56" Target="https://doi.org/10.1016/j.jclinepi.2023.08.004" TargetMode="External" /><Relationship Type="http://schemas.openxmlformats.org/officeDocument/2006/relationships/hyperlink" Id="rId44" Target="https://doi.org/10.1016/j.neuroimage.2012.07.004" TargetMode="External" /><Relationship Type="http://schemas.openxmlformats.org/officeDocument/2006/relationships/hyperlink" Id="rId46" Target="https://doi.org/10.1136/bmj.39590.732037.47" TargetMode="External" /><Relationship Type="http://schemas.openxmlformats.org/officeDocument/2006/relationships/hyperlink" Id="rId42" Target="https://doi.org/10.1136/bmj.j2490" TargetMode="External" /><Relationship Type="http://schemas.openxmlformats.org/officeDocument/2006/relationships/hyperlink" Id="rId58" Target="https://doi.org/10.1186/s12874-021-01363-1" TargetMode="External" /><Relationship Type="http://schemas.openxmlformats.org/officeDocument/2006/relationships/hyperlink" Id="rId66" Target="https://doi.org/10.1186/s41073-019-0069-3" TargetMode="External" /><Relationship Type="http://schemas.openxmlformats.org/officeDocument/2006/relationships/hyperlink" Id="rId70" Target="https://doi.org/10.1371/journal.pmed.1000217" TargetMode="External" /><Relationship Type="http://schemas.openxmlformats.org/officeDocument/2006/relationships/hyperlink" Id="rId64" Target="https://doi.org/10.1371/journal.pone.0064733" TargetMode="External" /><Relationship Type="http://schemas.openxmlformats.org/officeDocument/2006/relationships/hyperlink" Id="rId68" Target="https://doi.org/10.2147/JMDH.S155103" TargetMode="External" /><Relationship Type="http://schemas.openxmlformats.org/officeDocument/2006/relationships/hyperlink" Id="rId60"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Commit ID: c24e56f</dc:creator>
  <cp:keywords/>
  <dcterms:created xsi:type="dcterms:W3CDTF">2023-10-11T11:57:38Z</dcterms:created>
  <dcterms:modified xsi:type="dcterms:W3CDTF">2023-10-11T11:57:38Z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2023-10-11</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