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In this chapter I introduce the evidence gap I have addressed and the approach I have taken to address it. I begin by describing the prevalence and consequences of poorly reported medical research. I introduce reporting guidelines and position them as part of a complex behaviour change intervention. This intervention has had a disappointing impact, as medical research is still poorly reported. This brings me to my evidence gap: how can we get more authors to adhere to reporting guidelines? I then outline my aims, objectives, and thesis structure.</w:t>
      </w:r>
    </w:p>
    <w:bookmarkStart w:id="20"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[1]</w:t>
      </w:r>
      <w:r>
        <w:t xml:space="preserve">. When I started my PhD, governments may have been asking the same question. The world was in the grip of COVID-19 and decision makers were wading through a deluge of patchy research articles missing important information</w:t>
      </w:r>
      <w:r>
        <w:t xml:space="preserve"> </w:t>
      </w:r>
      <w:r>
        <w:t xml:space="preserve">[2]</w:t>
      </w:r>
      <w:r>
        <w:t xml:space="preserve">. In the years since, friends and family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[3]</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[4]</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[5]</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[6]</w:t>
      </w:r>
      <w:r>
        <w:t xml:space="preserve">. As Feinstein noted in 1974</w:t>
      </w:r>
      <w:r>
        <w:t xml:space="preserve"> </w:t>
      </w:r>
      <w:r>
        <w:t xml:space="preserve">[7]</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[8]</w:t>
      </w:r>
      <w:r>
        <w:t xml:space="preserve"> </w:t>
      </w:r>
      <w:r>
        <w:t xml:space="preserve">reviewed trials describing exercise interventions for chronic back pain and found authors often did not describe interventions sufficiently for other healthcare providers to copy them.</w:t>
      </w:r>
    </w:p>
    <w:p>
      <w:pPr>
        <w:pStyle w:val="BodyText"/>
      </w:pPr>
      <w:r>
        <w:t xml:space="preserve">These are a mere handful of many studies documenting poor reporting in medical literature. A 2023 systematic review found 148 published between 2020-2022 alone</w:t>
      </w:r>
      <w:r>
        <w:t xml:space="preserve"> </w:t>
      </w:r>
      <w:r>
        <w:t xml:space="preserve">[9]</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is a long-standing problem, plagues all disciplines, devalues research, and derails the uptake of new knowledge into clinical practice.</w:t>
      </w:r>
    </w:p>
    <w:bookmarkEnd w:id="20"/>
    <w:bookmarkStart w:id="22"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[10]</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[11]</w:t>
      </w:r>
      <w:r>
        <w:t xml:space="preserve">;</w:t>
      </w:r>
      <w:r>
        <w:t xml:space="preserve"> </w:t>
      </w:r>
      <w:r>
        <w:t xml:space="preserve">[12]</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p>
      <w:pPr>
        <w:sectPr/>
      </w:pPr>
    </w:p>
    <w:bookmarkStart w:id="21" w:name="tbl-rgs"/>
    <w:p>
      <w:pPr>
        <w:pStyle w:val="TableCaption"/>
      </w:pPr>
      <w:r>
        <w:t xml:space="preserve">Table 1: A selection of highly cited reporting guidelines</w:t>
      </w:r>
    </w:p>
    <w:tbl>
      <w:tblPr>
        <w:tblStyle w:val="Table"/>
        <w:tblW w:type="pct" w:w="4919"/>
        <w:tblLook w:firstRow="0" w:lastRow="0" w:firstColumn="0" w:lastColumn="0" w:noHBand="0" w:noVBand="0" w:val="0000"/>
        <w:jc w:val="start"/>
        <w:tblCaption w:val="Table 1: A selection of highly cited reporting guidelines"/>
      </w:tblPr>
      <w:tblGrid>
        <w:gridCol w:w="1139"/>
        <w:gridCol w:w="1267"/>
        <w:gridCol w:w="1065"/>
        <w:gridCol w:w="918"/>
        <w:gridCol w:w="496"/>
        <w:gridCol w:w="477"/>
        <w:gridCol w:w="992"/>
        <w:gridCol w:w="496"/>
        <w:gridCol w:w="937"/>
      </w:tblGrid>
      <w:tr>
        <w:tc>
          <w:tcPr/>
          <w:p>
            <w:pPr>
              <w:pStyle w:val="Compact"/>
              <w:jc w:val="left"/>
            </w:pPr>
            <w:r>
              <w:rPr>
                <w:bCs/>
                <w:b/>
              </w:rPr>
              <w:t xml:space="preserve">Guideline acronym</w:t>
            </w:r>
          </w:p>
        </w:tc>
        <w:tc>
          <w:tcPr/>
          <w:p>
            <w:pPr>
              <w:pStyle w:val="Compact"/>
              <w:jc w:val="left"/>
            </w:pPr>
            <w:r>
              <w:rPr>
                <w:bCs/>
                <w:b/>
              </w:rPr>
              <w:t xml:space="preserve">Definition</w:t>
            </w:r>
          </w:p>
        </w:tc>
        <w:tc>
          <w:tcPr/>
          <w:p>
            <w:pPr>
              <w:pStyle w:val="Compact"/>
              <w:jc w:val="left"/>
            </w:pPr>
            <w:r>
              <w:rPr>
                <w:bCs/>
                <w:b/>
              </w:rPr>
              <w:t xml:space="preserve">Applicable study type</w:t>
            </w:r>
          </w:p>
        </w:tc>
        <w:tc>
          <w:tcPr/>
          <w:p>
            <w:pPr>
              <w:pStyle w:val="Compact"/>
              <w:jc w:val="left"/>
            </w:pPr>
            <w:r>
              <w:rPr>
                <w:bCs/>
                <w:b/>
              </w:rPr>
              <w:t xml:space="preserve">Publication year</w:t>
            </w:r>
          </w:p>
        </w:tc>
        <w:tc>
          <w:tcPr/>
          <w:p>
            <w:pPr>
              <w:pStyle w:val="Compact"/>
              <w:jc w:val="left"/>
            </w:pPr>
            <w:r>
              <w:rPr>
                <w:bCs/>
                <w:b/>
              </w:rPr>
              <w:t xml:space="preserve">Development article?</w:t>
            </w:r>
          </w:p>
        </w:tc>
        <w:tc>
          <w:tcPr/>
          <w:p>
            <w:pPr>
              <w:pStyle w:val="Compact"/>
              <w:jc w:val="left"/>
            </w:pPr>
            <w:r>
              <w:rPr>
                <w:bCs/>
                <w:b/>
              </w:rPr>
              <w:t xml:space="preserve">Fillable checklist?</w:t>
            </w:r>
          </w:p>
        </w:tc>
        <w:tc>
          <w:tcPr/>
          <w:p>
            <w:pPr>
              <w:pStyle w:val="Compact"/>
              <w:jc w:val="left"/>
            </w:pPr>
            <w:r>
              <w:rPr>
                <w:bCs/>
                <w:b/>
              </w:rPr>
              <w:t xml:space="preserve">Explanatory document?</w:t>
            </w:r>
          </w:p>
        </w:tc>
        <w:tc>
          <w:tcPr/>
          <w:p>
            <w:pPr>
              <w:pStyle w:val="Compact"/>
              <w:jc w:val="left"/>
            </w:pPr>
            <w:r>
              <w:rPr>
                <w:bCs/>
                <w:b/>
              </w:rPr>
              <w:t xml:space="preserve">Other resources</w:t>
            </w:r>
          </w:p>
        </w:tc>
        <w:tc>
          <w:tcPr/>
          <w:p>
            <w:pPr>
              <w:pStyle w:val="Compact"/>
              <w:jc w:val="left"/>
            </w:pPr>
            <w:r>
              <w:rPr>
                <w:bCs/>
                <w:b/>
              </w:rPr>
              <w:t xml:space="preserve">Influences design?</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[13]</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p>
      <w:pPr>
        <w:sectPr>
          <w:pgSz w:h="11906" w:w="16838" w:orient="landscape"/>
        </w:sectPr>
      </w:pPr>
    </w:p>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[14]</w:t>
      </w:r>
      <w:r>
        <w:t xml:space="preserve">.</w:t>
      </w:r>
    </w:p>
    <w:bookmarkEnd w:id="22"/>
    <w:bookmarkStart w:id="23" w:name="Xf6e9be6d9927210c59dbf408666d861246917cf"/>
    <w:p>
      <w:pPr>
        <w:pStyle w:val="Heading2"/>
      </w:pPr>
      <w:r>
        <w:t xml:space="preserve">The EQUATOR Network unites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End w:id="23"/>
    <w:bookmarkStart w:id="26" w:name="X7b4c7336407d0bcf38604660010467b039e3e48"/>
    <w:p>
      <w:pPr>
        <w:pStyle w:val="Heading2"/>
      </w:pPr>
      <w:r>
        <w:t xml:space="preserve">Reporting guidelines are part of a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[15]</w:t>
      </w:r>
      <w:r>
        <w:t xml:space="preserve">. Concerned editors sought ways to adopt reporting guidelines, and more and more journals</w:t>
      </w:r>
      <w:r>
        <w:t xml:space="preserve"> </w:t>
      </w:r>
      <w:r>
        <w:t xml:space="preserve">[16]</w:t>
      </w:r>
      <w:r>
        <w:t xml:space="preserve">;</w:t>
      </w:r>
      <w:r>
        <w:t xml:space="preserve"> </w:t>
      </w:r>
      <w:r>
        <w:t xml:space="preserve">[17]</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2</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4" w:name="tbl-journal-policies"/>
    <w:p>
      <w:pPr>
        <w:pStyle w:val="TableCaption"/>
      </w:pPr>
      <w:r>
        <w:t xml:space="preserve">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4"/>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[18]</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 Researchers have developed writing software to help authors apply reporting guidelines when drafting</w:t>
      </w:r>
      <w:r>
        <w:t xml:space="preserve"> </w:t>
      </w:r>
      <w:r>
        <w:t xml:space="preserve">[19, 20]</w:t>
      </w:r>
      <w:r>
        <w:t xml:space="preserve">, online applications to facilitate checklist and flow diagram completion</w:t>
      </w:r>
      <w:r>
        <w:t xml:space="preserve"> </w:t>
      </w:r>
      <w:r>
        <w:t xml:space="preserve">[21, 22]</w:t>
      </w:r>
      <w:r>
        <w:t xml:space="preserve">, and resources for reviewers to check compliance</w:t>
      </w:r>
      <w:r>
        <w:t xml:space="preserve"> </w:t>
      </w:r>
      <w:r>
        <w:t xml:space="preserve">[23]</w:t>
      </w:r>
      <w:r>
        <w:t xml:space="preserve">.</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3</w:t>
        </w:r>
      </w:hyperlink>
      <w:r>
        <w:t xml:space="preserve">.</w:t>
      </w:r>
    </w:p>
    <w:bookmarkStart w:id="25" w:name="tbl-complexity"/>
    <w:p>
      <w:pPr>
        <w:pStyle w:val="TableCaption"/>
      </w:pPr>
      <w:r>
        <w:t xml:space="preserve">Table 3: Sources of complexity within reporting guidelines and the system drives their use.</w:t>
      </w:r>
    </w:p>
    <w:tbl>
      <w:tblPr>
        <w:tblStyle w:val="Table"/>
        <w:tblW w:type="pct" w:w="5000"/>
        <w:tblLook w:firstRow="1" w:lastRow="0" w:firstColumn="0" w:lastColumn="0" w:noHBand="0" w:noVBand="0" w:val="0020"/>
        <w:jc w:val="start"/>
        <w:tblCaption w:val="Table 3: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5"/>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End w:id="26"/>
    <w:bookmarkStart w:id="30" w:name="Xa39681bc29eaa21079909d79a2ef6778d566f71"/>
    <w:p>
      <w:pPr>
        <w:pStyle w:val="Heading2"/>
      </w:pPr>
      <w:r>
        <w:t xml:space="preserve">Reporting quality has improved over time but remains sub optimal</w:t>
      </w:r>
    </w:p>
    <w:bookmarkStart w:id="27" w:name="evidence-from-observational-studies"/>
    <w:p>
      <w:pPr>
        <w:pStyle w:val="Heading3"/>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[24]</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[4]</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[25]</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[26]</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[27]</w:t>
      </w:r>
      <w:r>
        <w:t xml:space="preserve">. Similarly, Pouwels et al. found no improvement in observational epidemiology following STROBE’s publication</w:t>
      </w:r>
      <w:r>
        <w:t xml:space="preserve"> </w:t>
      </w:r>
      <w:r>
        <w:t xml:space="preserve">[28]</w:t>
      </w:r>
      <w:r>
        <w:t xml:space="preserve"> </w:t>
      </w:r>
      <w:r>
        <w:t xml:space="preserve">and another study</w:t>
      </w:r>
      <w:r>
        <w:t xml:space="preserve"> </w:t>
      </w:r>
      <w:r>
        <w:t xml:space="preserve">[29]</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[30]</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[22]</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[31]</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7"/>
    <w:bookmarkStart w:id="28" w:name="evidence-from-intervention-studies"/>
    <w:p>
      <w:pPr>
        <w:pStyle w:val="Heading3"/>
      </w:pPr>
      <w:r>
        <w:t xml:space="preserve">Evidence from intervention studies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[32]</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[33]</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[34]</w:t>
      </w:r>
      <w:r>
        <w:t xml:space="preserve">. Adding a reviewer whose task was to check for guideline adherence did lead to improved reporting quality</w:t>
      </w:r>
      <w:r>
        <w:t xml:space="preserve"> </w:t>
      </w:r>
      <w:r>
        <w:t xml:space="preserve">[35]</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[36]</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[37]</w:t>
      </w:r>
      <w:r>
        <w:t xml:space="preserve"> </w:t>
      </w:r>
      <w:r>
        <w:t xml:space="preserve">found 88% of studies reported suboptimal adherence to reporting guidelines. Similarly, Dal Santo et al</w:t>
      </w:r>
      <w:r>
        <w:t xml:space="preserve"> </w:t>
      </w:r>
      <w:r>
        <w:t xml:space="preserve">[38]</w:t>
      </w:r>
      <w:r>
        <w:t xml:space="preserve"> </w:t>
      </w:r>
      <w:r>
        <w:t xml:space="preserve">reviewed 148 studies of reporting quality from the previous few years and almost all described reporting quality as suboptimal.</w:t>
      </w:r>
    </w:p>
    <w:bookmarkEnd w:id="28"/>
    <w:bookmarkStart w:id="29" w:name="X5cd66c28a94d4bbd3bbfc88516f15163579c1d0"/>
    <w:p>
      <w:pPr>
        <w:pStyle w:val="Heading3"/>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End w:id="29"/>
    <w:bookmarkEnd w:id="30"/>
    <w:bookmarkStart w:id="31" w:name="X0f8f107946f50472ab330c135721976444c1d75"/>
    <w:p>
      <w:pPr>
        <w:pStyle w:val="Heading2"/>
      </w:pPr>
      <w:r>
        <w:t xml:space="preserve">Evidence gap: 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[39]</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[4]</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[26]</w:t>
      </w:r>
      <w:r>
        <w:t xml:space="preserve">. But the PLOS One</w:t>
      </w:r>
      <w:r>
        <w:t xml:space="preserve"> </w:t>
      </w:r>
      <w:r>
        <w:t xml:space="preserve">[32]</w:t>
      </w:r>
      <w:r>
        <w:t xml:space="preserve"> </w:t>
      </w:r>
      <w:r>
        <w:t xml:space="preserve">and BMJ Open studies</w:t>
      </w:r>
      <w:r>
        <w:t xml:space="preserve"> </w:t>
      </w:r>
      <w:r>
        <w:t xml:space="preserve">[22]</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[35]</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[33]</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End w:id="31"/>
    <w:bookmarkStart w:id="32"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32"/>
    <w:bookmarkStart w:id="33" w:name="aims-and-objectives"/>
    <w:p>
      <w:pPr>
        <w:pStyle w:val="Heading2"/>
      </w:pPr>
      <w:r>
        <w:t xml:space="preserve">Aims and Objectives</w:t>
      </w:r>
    </w:p>
    <w:p>
      <w:pPr>
        <w:pStyle w:val="FirstParagraph"/>
      </w:pPr>
      <w:r>
        <w:t xml:space="preserve">My aim was to identify and address barriers preventing authors from adhering to reporting guidelines. I wanted to explore the entire reporting guideline system, and I wanted to be thorough: I wanted to identify as many barriers as possible, and as many solutions as possible, before deciding which to implement.</w:t>
      </w:r>
    </w:p>
    <w:p>
      <w:pPr>
        <w:pStyle w:val="BodyText"/>
      </w:pPr>
      <w:r>
        <w:t xml:space="preserve">My objectives were:</w:t>
      </w:r>
    </w:p>
    <w:p>
      <w:pPr>
        <w:numPr>
          <w:ilvl w:val="0"/>
          <w:numId w:val="1001"/>
        </w:numPr>
        <w:pStyle w:val="Compact"/>
      </w:pPr>
      <w:r>
        <w:t xml:space="preserve">To identify factors that may limit reporting guideline impact by synthesising existing research and by evaluating the EQUATOR Network website (addressed in chapters 3)</w:t>
      </w:r>
    </w:p>
    <w:p>
      <w:pPr>
        <w:numPr>
          <w:ilvl w:val="0"/>
          <w:numId w:val="1001"/>
        </w:numPr>
        <w:pStyle w:val="Compact"/>
      </w:pPr>
      <w:r>
        <w:t xml:space="preserve">To work with key stakeholders to identify intervention changes to address these limiting factors (addressed in chapters 6)</w:t>
      </w:r>
    </w:p>
    <w:p>
      <w:pPr>
        <w:numPr>
          <w:ilvl w:val="0"/>
          <w:numId w:val="1001"/>
        </w:numPr>
        <w:pStyle w:val="Compact"/>
      </w:pPr>
      <w:r>
        <w:t xml:space="preserve">To implement these changes (described in 10)</w:t>
      </w:r>
    </w:p>
    <w:p>
      <w:pPr>
        <w:numPr>
          <w:ilvl w:val="0"/>
          <w:numId w:val="1001"/>
        </w:numPr>
        <w:pStyle w:val="Compact"/>
      </w:pPr>
      <w:r>
        <w:t xml:space="preserve">To refine the new intervention in response to feedback from authors (addressed in chapter 11)</w:t>
      </w:r>
    </w:p>
    <w:p>
      <w:pPr>
        <w:pStyle w:val="FirstParagraph"/>
      </w:pPr>
      <w:r>
        <w:t xml:space="preserve">My thesis bares many of the hallmarks of pragmatism. I used both qualitative and quantitative methods. Constraints (like time and access to participants) influenced my decisions. I balanced participants’ views with my own; I sought to remove my views as much as possible in all chapters except for the workshops I conducted with EQUATOR (chapter 7) and when designing the intervention (chapter 10). I balanced inductive and deductive reasoning; my early chapters were exploratory and inductive, and my later chapters became increasingly deductive as my focus narrowed and I relied more heavily on a framework.</w:t>
      </w:r>
    </w:p>
    <w:bookmarkEnd w:id="33"/>
    <w:bookmarkStart w:id="108" w:name="thesis-structure"/>
    <w:p>
      <w:pPr>
        <w:pStyle w:val="Heading2"/>
      </w:pPr>
      <w:r>
        <w:t xml:space="preserve">Thesis structure</w:t>
      </w:r>
    </w:p>
    <w:p>
      <w:pPr>
        <w:pStyle w:val="FirstParagraph"/>
      </w:pPr>
      <w:r>
        <w:rPr>
          <w:bCs/>
          <w:b/>
        </w:rPr>
        <w:t xml:space="preserve">Chapter 2 - Reflections on starting my DPhil</w:t>
      </w:r>
    </w:p>
    <w:p>
      <w:pPr>
        <w:pStyle w:val="BodyText"/>
      </w:pPr>
      <w:r>
        <w:t xml:space="preserve">I reflect on my background and my prior held opinions, and those of my supervision team, and how these may have influenced the direction of this thesis.</w:t>
      </w:r>
    </w:p>
    <w:p>
      <w:pPr>
        <w:pStyle w:val="BodyText"/>
      </w:pPr>
      <w:r>
        <w:rPr>
          <w:bCs/>
          <w:b/>
        </w:rPr>
        <w:t xml:space="preserve">Chapter 3 - What facilitators and barriers might researchers encounter when using reporting guidelines? Part 1: A thematic synthesis</w:t>
      </w:r>
    </w:p>
    <w:p>
      <w:pPr>
        <w:pStyle w:val="BodyText"/>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p>
      <w:pPr>
        <w:pStyle w:val="BodyText"/>
      </w:pPr>
      <w:r>
        <w:rPr>
          <w:bCs/>
          <w:b/>
        </w:rPr>
        <w:t xml:space="preserve">Chapter 4 - What facilitators and barriers might researchers encounter when using reporting guidelines? Part 2: Describing the questions asked in quantitative surveys.</w:t>
      </w:r>
    </w:p>
    <w:p>
      <w:pPr>
        <w:pStyle w:val="BodyText"/>
      </w:pPr>
      <w:r>
        <w:t xml:space="preserve">This chapter builds on the previous one by identifying additional possible influences from the content of quantitative survey questions.</w:t>
      </w:r>
    </w:p>
    <w:p>
      <w:pPr>
        <w:pStyle w:val="BodyText"/>
      </w:pPr>
      <w:r>
        <w:rPr>
          <w:bCs/>
          <w:b/>
        </w:rPr>
        <w:t xml:space="preserve">Chapter 5 - A service evaluation of equator-network.org</w:t>
      </w:r>
    </w:p>
    <w:p>
      <w:pPr>
        <w:pStyle w:val="BodyText"/>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p>
      <w:pPr>
        <w:pStyle w:val="BodyText"/>
      </w:pPr>
      <w:r>
        <w:rPr>
          <w:bCs/>
          <w:b/>
        </w:rPr>
        <w:t xml:space="preserve">Chapter 6 - Selecting the Behaviour Change Wheel framework</w:t>
      </w:r>
    </w:p>
    <w:p>
      <w:pPr>
        <w:pStyle w:val="BodyText"/>
      </w:pPr>
      <w:r>
        <w:t xml:space="preserve">The next 4 chapters pertain to my second objective - identifying intervention changes. This chapter introduces the Behaviour Change Wheel, which is a framework for designing and defining behaviour change interventions. I explain how my thesis gained form at this point in time; my view of reporting guidelines as a system crystallised, and Charlotte Albury joined my supervision team as my plans took an unexpected qualitative turn. I wanted my thesis to accurately reflect the twists and turns of my DPhil, and so I introduce my chosen framework in this middle chapter instead of the introduction which may be more customary.</w:t>
      </w:r>
    </w:p>
    <w:p>
      <w:pPr>
        <w:pStyle w:val="BodyText"/>
      </w:pPr>
      <w:r>
        <w:rPr>
          <w:bCs/>
          <w:b/>
        </w:rPr>
        <w:t xml:space="preserve">Chapter 7 - Following the BCW Guide: Workshops with EQUATOR</w:t>
      </w:r>
    </w:p>
    <w:p>
      <w:pPr>
        <w:pStyle w:val="BodyText"/>
      </w:pPr>
      <w:r>
        <w:t xml:space="preserve">This chapter describes how I lead workshops with UK EQUATOR center staff to identify intervention options using Behaviour Change Wheel framework.</w:t>
      </w:r>
    </w:p>
    <w:p>
      <w:pPr>
        <w:pStyle w:val="BodyText"/>
      </w:pPr>
      <w:r>
        <w:rPr>
          <w:bCs/>
          <w:b/>
        </w:rPr>
        <w:t xml:space="preserve">Chapter 8 - Generating ideas to address factors limiting reporting guideline impact: workshops with EQUATOR and focus groups with developers, publishers, and experts</w:t>
      </w:r>
    </w:p>
    <w:p>
      <w:pPr>
        <w:pStyle w:val="BodyText"/>
      </w:pPr>
      <w:r>
        <w:t xml:space="preserve">This chapter reports focus groups where I collected ideas on how intervention options could be realised.</w:t>
      </w:r>
    </w:p>
    <w:p>
      <w:pPr>
        <w:pStyle w:val="BodyText"/>
      </w:pPr>
      <w:r>
        <w:rPr>
          <w:bCs/>
          <w:b/>
        </w:rPr>
        <w:t xml:space="preserve">Chapter 9 - Defining Intervention Content</w:t>
      </w:r>
    </w:p>
    <w:p>
      <w:pPr>
        <w:pStyle w:val="BodyText"/>
      </w:pPr>
      <w:r>
        <w:t xml:space="preserve">In this chapter, I bring together the outputs of the previous two chapters to create a table of intervention components.</w:t>
      </w:r>
    </w:p>
    <w:p>
      <w:pPr>
        <w:pStyle w:val="BodyText"/>
      </w:pPr>
      <w:r>
        <w:rPr>
          <w:bCs/>
          <w:b/>
        </w:rPr>
        <w:t xml:space="preserve">Chapter 10 - Developing intervention components into a prototype</w:t>
      </w:r>
    </w:p>
    <w:p>
      <w:pPr>
        <w:pStyle w:val="BodyText"/>
      </w:pPr>
      <w:r>
        <w:t xml:space="preserve">This chapter concerns my third objective; implementing the intervention changes by redesigning a reporting guideline (SRQR) and the EQUATOR Network website’s home page.</w:t>
      </w:r>
    </w:p>
    <w:p>
      <w:pPr>
        <w:pStyle w:val="BodyText"/>
      </w:pPr>
      <w:r>
        <w:rPr>
          <w:bCs/>
          <w:b/>
        </w:rPr>
        <w:t xml:space="preserve">Chapter 11 - Refining the intervention: qualitative study with authors</w:t>
      </w:r>
    </w:p>
    <w:p>
      <w:pPr>
        <w:pStyle w:val="BodyText"/>
      </w:pPr>
      <w:r>
        <w:t xml:space="preserve">In this chapter I address my final objective by refining the intervention in response to feedback from authors. I describe a qualitative study where I used observation, think aloud, structured interviews, and a writing evaluation, to gather feedback from an international sample of authors.</w:t>
      </w:r>
    </w:p>
    <w:bookmarkStart w:id="107" w:name="refs"/>
    <w:bookmarkStart w:id="35" w:name="X78e05f87d9b134a0a833ebbbb8915350ba90d4d"/>
    <w:p>
      <w:pPr>
        <w:pStyle w:val="Bibliography"/>
      </w:pPr>
      <w:r>
        <w:t xml:space="preserve">1.</w:t>
      </w:r>
      <w:r>
        <w:t xml:space="preserve"> </w:t>
      </w:r>
      <w:r>
        <w:t xml:space="preserve">	</w:t>
      </w:r>
      <w:r>
        <w:t xml:space="preserve">Liberati A (2004)</w:t>
      </w:r>
      <w:r>
        <w:t xml:space="preserve"> </w:t>
      </w:r>
      <w:hyperlink r:id="rId34">
        <w:r>
          <w:rPr>
            <w:rStyle w:val="Hyperlink"/>
          </w:rPr>
          <w:t xml:space="preserve">An unfinished trip through uncertainties</w:t>
        </w:r>
      </w:hyperlink>
      <w:r>
        <w:t xml:space="preserve">. BMJ : British Medical Journal 328:531</w:t>
      </w:r>
    </w:p>
    <w:bookmarkEnd w:id="35"/>
    <w:bookmarkStart w:id="37" w:name="ref-ziemannPoorReportingQuality2022"/>
    <w:p>
      <w:pPr>
        <w:pStyle w:val="Bibliography"/>
      </w:pPr>
      <w:r>
        <w:t xml:space="preserve">2.</w:t>
      </w:r>
      <w:r>
        <w:t xml:space="preserve"> </w:t>
      </w:r>
      <w:r>
        <w:t xml:space="preserve">	</w:t>
      </w:r>
      <w:r>
        <w:t xml:space="preserve">Ziemann S, Paetzolt I, Grüßer L, Coburn M, Rossaint R, Kowark A (2022)</w:t>
      </w:r>
      <w:r>
        <w:t xml:space="preserve"> </w:t>
      </w:r>
      <w:hyperlink r:id="rId36">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37"/>
    <w:bookmarkStart w:id="39" w:name="Xb247311f124d5b50fbaa44c342a49809750f5a9"/>
    <w:p>
      <w:pPr>
        <w:pStyle w:val="Bibliography"/>
      </w:pPr>
      <w:r>
        <w:t xml:space="preserve">3.</w:t>
      </w:r>
      <w:r>
        <w:t xml:space="preserve"> </w:t>
      </w:r>
      <w:r>
        <w:t xml:space="preserve">	</w:t>
      </w:r>
      <w:r>
        <w:t xml:space="preserve">Glick BS (1963)</w:t>
      </w:r>
      <w:r>
        <w:t xml:space="preserve"> </w:t>
      </w:r>
      <w:hyperlink r:id="rId38">
        <w:r>
          <w:rPr>
            <w:rStyle w:val="Hyperlink"/>
          </w:rPr>
          <w:t xml:space="preserve">Inadequacies in the reporting of clinical drug research</w:t>
        </w:r>
      </w:hyperlink>
      <w:r>
        <w:t xml:space="preserve">. The Psychiatric Quarterly 37:234–244</w:t>
      </w:r>
    </w:p>
    <w:bookmarkEnd w:id="39"/>
    <w:bookmarkStart w:id="41" w:name="ref-dechartresEvolutionPoorReporting2017"/>
    <w:p>
      <w:pPr>
        <w:pStyle w:val="Bibliography"/>
      </w:pPr>
      <w:r>
        <w:t xml:space="preserve">4.</w:t>
      </w:r>
      <w:r>
        <w:t xml:space="preserve"> </w:t>
      </w:r>
      <w:r>
        <w:t xml:space="preserve">	</w:t>
      </w:r>
      <w:r>
        <w:t xml:space="preserve">Dechartres A, Trinquart L, Atal I, Moher D, Dickersin K, Boutron I, Perrodeau E, Altman DG, Ravaud P (2017)</w:t>
      </w:r>
      <w:r>
        <w:t xml:space="preserve"> </w:t>
      </w:r>
      <w:hyperlink r:id="rId40">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41"/>
    <w:bookmarkStart w:id="43" w:name="ref-carpSecretLivesExperiments2012"/>
    <w:p>
      <w:pPr>
        <w:pStyle w:val="Bibliography"/>
      </w:pPr>
      <w:r>
        <w:t xml:space="preserve">5.</w:t>
      </w:r>
      <w:r>
        <w:t xml:space="preserve"> </w:t>
      </w:r>
      <w:r>
        <w:t xml:space="preserve">	</w:t>
      </w:r>
      <w:r>
        <w:t xml:space="preserve">Carp J (2012)</w:t>
      </w:r>
      <w:r>
        <w:t xml:space="preserve"> </w:t>
      </w:r>
      <w:hyperlink r:id="rId42">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43"/>
    <w:bookmarkStart w:id="45" w:name="ref-glasziouWhatMissingDescriptions2008"/>
    <w:p>
      <w:pPr>
        <w:pStyle w:val="Bibliography"/>
      </w:pPr>
      <w:r>
        <w:t xml:space="preserve">6.</w:t>
      </w:r>
      <w:r>
        <w:t xml:space="preserve"> </w:t>
      </w:r>
      <w:r>
        <w:t xml:space="preserve">	</w:t>
      </w:r>
      <w:r>
        <w:t xml:space="preserve">Glasziou P, Meats E, Heneghan C, Shepperd S (2008)</w:t>
      </w:r>
      <w:r>
        <w:t xml:space="preserve"> </w:t>
      </w:r>
      <w:hyperlink r:id="rId44">
        <w:r>
          <w:rPr>
            <w:rStyle w:val="Hyperlink"/>
          </w:rPr>
          <w:t xml:space="preserve">What is missing from descriptions of treatment in trials and reviews?</w:t>
        </w:r>
      </w:hyperlink>
      <w:r>
        <w:t xml:space="preserve"> BMJ 336:1472–1474</w:t>
      </w:r>
    </w:p>
    <w:bookmarkEnd w:id="45"/>
    <w:bookmarkStart w:id="47" w:name="X1e38992eb720cb5df8e971632c764377a614cf3"/>
    <w:p>
      <w:pPr>
        <w:pStyle w:val="Bibliography"/>
      </w:pPr>
      <w:r>
        <w:t xml:space="preserve">7.</w:t>
      </w:r>
      <w:r>
        <w:t xml:space="preserve"> </w:t>
      </w:r>
      <w:r>
        <w:t xml:space="preserve">	</w:t>
      </w:r>
      <w:r>
        <w:t xml:space="preserve">Feinstein AR (1974)</w:t>
      </w:r>
      <w:r>
        <w:t xml:space="preserve"> </w:t>
      </w:r>
      <w:hyperlink r:id="rId46">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47"/>
    <w:bookmarkStart w:id="49" w:name="ref-davidsonExerciseInterventionsLow2021"/>
    <w:p>
      <w:pPr>
        <w:pStyle w:val="Bibliography"/>
      </w:pPr>
      <w:r>
        <w:t xml:space="preserve">8.</w:t>
      </w:r>
      <w:r>
        <w:t xml:space="preserve"> </w:t>
      </w:r>
      <w:r>
        <w:t xml:space="preserve">	</w:t>
      </w:r>
      <w:r>
        <w:t xml:space="preserve">Davidson SRE, Kamper SJ, Haskins R, Robson E, Gleadhill C, da Silva PV, Williams A, Yu Z, Williams CM (2021)</w:t>
      </w:r>
      <w:r>
        <w:t xml:space="preserve"> </w:t>
      </w:r>
      <w:hyperlink r:id="rId48">
        <w:r>
          <w:rPr>
            <w:rStyle w:val="Hyperlink"/>
          </w:rPr>
          <w:t xml:space="preserve">Exercise interventions for low back pain are poorly reported: A systematic review</w:t>
        </w:r>
      </w:hyperlink>
      <w:r>
        <w:t xml:space="preserve">. Journal of Clinical Epidemiology 139:279–286</w:t>
      </w:r>
    </w:p>
    <w:bookmarkEnd w:id="49"/>
    <w:bookmarkStart w:id="51" w:name="ref-santoMethodsResultsStudies2023"/>
    <w:p>
      <w:pPr>
        <w:pStyle w:val="Bibliography"/>
      </w:pPr>
      <w:r>
        <w:t xml:space="preserve">9.</w:t>
      </w:r>
      <w:r>
        <w:t xml:space="preserve"> </w:t>
      </w:r>
      <w:r>
        <w:t xml:space="preserve">	</w:t>
      </w:r>
      <w:r>
        <w:t xml:space="preserve">Santo TD, Rice DB, Amiri LSN, Tasleem A, Li K, Boruff JT, Geoffroy M-C, Benedetti A, Thombs BD (2023)</w:t>
      </w:r>
      <w:r>
        <w:t xml:space="preserve"> </w:t>
      </w:r>
      <w:hyperlink r:id="rId50">
        <w:r>
          <w:rPr>
            <w:rStyle w:val="Hyperlink"/>
          </w:rPr>
          <w:t xml:space="preserve">Methods and results of studies on reporting guideline adherence are poorly reported: A meta-research study</w:t>
        </w:r>
      </w:hyperlink>
      <w:r>
        <w:t xml:space="preserve">. Journal of Clinical Epidemiology 159:225–234</w:t>
      </w:r>
    </w:p>
    <w:bookmarkEnd w:id="51"/>
    <w:bookmarkStart w:id="53" w:name="ref-beggImprovingQualityReporting1996"/>
    <w:p>
      <w:pPr>
        <w:pStyle w:val="Bibliography"/>
      </w:pPr>
      <w:r>
        <w:t xml:space="preserve">10.</w:t>
      </w:r>
      <w:r>
        <w:t xml:space="preserve"> </w:t>
      </w:r>
      <w:r>
        <w:t xml:space="preserve">	</w:t>
      </w:r>
      <w:r>
        <w:t xml:space="preserve">Begg C, Cho M, Eastwood S, et al (1996)</w:t>
      </w:r>
      <w:r>
        <w:t xml:space="preserve"> </w:t>
      </w:r>
      <w:hyperlink r:id="rId5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53"/>
    <w:bookmarkStart w:id="55" w:name="ref-altmanBetterReportingRandomised1996"/>
    <w:p>
      <w:pPr>
        <w:pStyle w:val="Bibliography"/>
      </w:pPr>
      <w:r>
        <w:t xml:space="preserve">11.</w:t>
      </w:r>
      <w:r>
        <w:t xml:space="preserve"> </w:t>
      </w:r>
      <w:r>
        <w:t xml:space="preserve">	</w:t>
      </w:r>
      <w:r>
        <w:t xml:space="preserve">Altman DG (1996)</w:t>
      </w:r>
      <w:r>
        <w:t xml:space="preserve"> </w:t>
      </w:r>
      <w:hyperlink r:id="rId54">
        <w:r>
          <w:rPr>
            <w:rStyle w:val="Hyperlink"/>
          </w:rPr>
          <w:t xml:space="preserve">Better reporting of randomised controlled trials: The</w:t>
        </w:r>
        <w:r>
          <w:rPr>
            <w:rStyle w:val="Hyperlink"/>
          </w:rPr>
          <w:t xml:space="preserve"> </w:t>
        </w:r>
        <w:r>
          <w:rPr>
            <w:rStyle w:val="Hyperlink"/>
          </w:rPr>
          <w:t xml:space="preserve">CONSORT</w:t>
        </w:r>
        <w:r>
          <w:rPr>
            <w:rStyle w:val="Hyperlink"/>
          </w:rPr>
          <w:t xml:space="preserve"> </w:t>
        </w:r>
        <w:r>
          <w:rPr>
            <w:rStyle w:val="Hyperlink"/>
          </w:rPr>
          <w:t xml:space="preserve">statement</w:t>
        </w:r>
      </w:hyperlink>
      <w:r>
        <w:t xml:space="preserve">. BMJ (Clinical research ed) 313:570–571</w:t>
      </w:r>
    </w:p>
    <w:bookmarkEnd w:id="55"/>
    <w:bookmarkStart w:id="57" w:name="ref-altmanRevisedCONSORTStatement2001"/>
    <w:p>
      <w:pPr>
        <w:pStyle w:val="Bibliography"/>
      </w:pPr>
      <w:r>
        <w:t xml:space="preserve">12.</w:t>
      </w:r>
      <w:r>
        <w:t xml:space="preserve"> </w:t>
      </w:r>
      <w:r>
        <w:t xml:space="preserve">	</w:t>
      </w:r>
      <w:r>
        <w:t xml:space="preserve">Altman DG, Schulz KF, Moher D, Egger M, Davidoff F, Elbourne D, Gøtzsche PC, Lang T (2001)</w:t>
      </w:r>
      <w:r>
        <w:t xml:space="preserve"> </w:t>
      </w:r>
      <w:hyperlink r:id="rId56">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57"/>
    <w:bookmarkStart w:id="59" w:name="Xb2af66b68cc61fcc77a6a228f9a547405848dd7"/>
    <w:p>
      <w:pPr>
        <w:pStyle w:val="Bibliography"/>
      </w:pPr>
      <w:r>
        <w:t xml:space="preserve">13.</w:t>
      </w:r>
      <w:r>
        <w:t xml:space="preserve"> </w:t>
      </w:r>
      <w:r>
        <w:t xml:space="preserve">	</w:t>
      </w:r>
      <w:r>
        <w:t xml:space="preserve">O’Brien BC, Harris IB, Beckman TJ, Reed DA, Cook DA (2014)</w:t>
      </w:r>
      <w:r>
        <w:t xml:space="preserve"> </w:t>
      </w:r>
      <w:hyperlink r:id="rId58">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59"/>
    <w:bookmarkStart w:id="61" w:name="ref-caulleyCitationImpactWas2020"/>
    <w:p>
      <w:pPr>
        <w:pStyle w:val="Bibliography"/>
      </w:pPr>
      <w:r>
        <w:t xml:space="preserve">14.</w:t>
      </w:r>
      <w:r>
        <w:t xml:space="preserve"> </w:t>
      </w:r>
      <w:r>
        <w:t xml:space="preserve">	</w:t>
      </w:r>
      <w:r>
        <w:t xml:space="preserve">Caulley L, Cheng W, Catalá-López F, Whelan J, Khoury M, Ferraro J, Husereau D, Altman DG, Moher D (2020)</w:t>
      </w:r>
      <w:r>
        <w:t xml:space="preserve"> </w:t>
      </w:r>
      <w:hyperlink r:id="rId60">
        <w:r>
          <w:rPr>
            <w:rStyle w:val="Hyperlink"/>
          </w:rPr>
          <w:t xml:space="preserve">Citation impact was highly variable for reporting guidelines of health research: A citation analysis</w:t>
        </w:r>
      </w:hyperlink>
      <w:r>
        <w:t xml:space="preserve">. Journal of Clinical Epidemiology 127:96–104</w:t>
      </w:r>
    </w:p>
    <w:bookmarkEnd w:id="61"/>
    <w:bookmarkStart w:id="62" w:name="ref-ICMJERecommendationsPreparing"/>
    <w:p>
      <w:pPr>
        <w:pStyle w:val="Bibliography"/>
      </w:pPr>
      <w:r>
        <w:t xml:space="preserve">15.</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62"/>
    <w:bookmarkStart w:id="64" w:name="ref-kochExplicitMentioningReporting2016"/>
    <w:p>
      <w:pPr>
        <w:pStyle w:val="Bibliography"/>
      </w:pPr>
      <w:r>
        <w:t xml:space="preserve">16.</w:t>
      </w:r>
      <w:r>
        <w:t xml:space="preserve"> </w:t>
      </w:r>
      <w:r>
        <w:t xml:space="preserve">	</w:t>
      </w:r>
      <w:r>
        <w:t xml:space="preserve">Koch M, Riss P, Umek W, Hanzal E (2016)</w:t>
      </w:r>
      <w:r>
        <w:t xml:space="preserve"> </w:t>
      </w:r>
      <w:hyperlink r:id="rId6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64"/>
    <w:bookmarkStart w:id="65" w:name="X4b69a82cd8c30780ea2f2c25b4a926a7b5da070"/>
    <w:p>
      <w:pPr>
        <w:pStyle w:val="Bibliography"/>
      </w:pPr>
      <w:r>
        <w:t xml:space="preserve">17.</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65"/>
    <w:bookmarkStart w:id="66" w:name="ref-MedRxivOrgPreprint"/>
    <w:p>
      <w:pPr>
        <w:pStyle w:val="Bibliography"/>
      </w:pPr>
      <w:r>
        <w:t xml:space="preserve">18.</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66"/>
    <w:bookmarkStart w:id="68" w:name="ref-barnesImpactOnlineWriting2015"/>
    <w:p>
      <w:pPr>
        <w:pStyle w:val="Bibliography"/>
      </w:pPr>
      <w:r>
        <w:t xml:space="preserve">19.</w:t>
      </w:r>
      <w:r>
        <w:t xml:space="preserve"> </w:t>
      </w:r>
      <w:r>
        <w:t xml:space="preserve">	</w:t>
      </w:r>
      <w:r>
        <w:t xml:space="preserve">Barnes C, Boutron I, Giraudeau B, Porcher R, Altman DG, Ravaud P (2015)</w:t>
      </w:r>
      <w:r>
        <w:t xml:space="preserve"> </w:t>
      </w:r>
      <w:hyperlink r:id="rId67">
        <w:r>
          <w:rPr>
            <w:rStyle w:val="Hyperlink"/>
          </w:rPr>
          <w:t xml:space="preserve">Impact of an online writing aid tool for writing a randomized trial report: The</w:t>
        </w:r>
        <w:r>
          <w:rPr>
            <w:rStyle w:val="Hyperlink"/>
          </w:rPr>
          <w:t xml:space="preserve"> </w:t>
        </w:r>
        <w:r>
          <w:rPr>
            <w:rStyle w:val="Hyperlink"/>
          </w:rPr>
          <w:t xml:space="preserve">COBWEB</w:t>
        </w:r>
        <w:r>
          <w:rPr>
            <w:rStyle w:val="Hyperlink"/>
          </w:rPr>
          <w:t xml:space="preserve"> </w:t>
        </w:r>
        <w:r>
          <w:rPr>
            <w:rStyle w:val="Hyperlink"/>
          </w:rPr>
          <w:t xml:space="preserve">(</w:t>
        </w:r>
        <w:r>
          <w:rPr>
            <w:rStyle w:val="Hyperlink"/>
          </w:rPr>
          <w:t xml:space="preserve">Consort-based WEB</w:t>
        </w:r>
        <w:r>
          <w:rPr>
            <w:rStyle w:val="Hyperlink"/>
          </w:rPr>
          <w:t xml:space="preserve"> </w:t>
        </w:r>
        <w:r>
          <w:rPr>
            <w:rStyle w:val="Hyperlink"/>
          </w:rPr>
          <w:t xml:space="preserve">tool) randomized controlled trial</w:t>
        </w:r>
      </w:hyperlink>
      <w:r>
        <w:t xml:space="preserve">. BMC Medicine 13:221</w:t>
      </w:r>
    </w:p>
    <w:bookmarkEnd w:id="68"/>
    <w:bookmarkStart w:id="70" w:name="X22e2deb4afc280281167542abb0e06b17524ca0"/>
    <w:p>
      <w:pPr>
        <w:pStyle w:val="Bibliography"/>
      </w:pPr>
      <w:r>
        <w:t xml:space="preserve">20.</w:t>
      </w:r>
      <w:r>
        <w:t xml:space="preserve"> </w:t>
      </w:r>
      <w:r>
        <w:t xml:space="preserve">	</w:t>
      </w:r>
      <w:r>
        <w:t xml:space="preserve">Hawwash D, Sharp MK, Argaw A, Kolsteren P, Lachat C (2019) Usefulness of applying research reporting guidelines as</w:t>
      </w:r>
      <w:r>
        <w:t xml:space="preserve"> </w:t>
      </w:r>
      <w:r>
        <w:t xml:space="preserve">Writing Aid</w:t>
      </w:r>
      <w:r>
        <w:t xml:space="preserve"> </w:t>
      </w:r>
      <w:r>
        <w:t xml:space="preserve">software: A crossover randomised controlled trial. BMJ Open.</w:t>
      </w:r>
      <w:r>
        <w:t xml:space="preserve"> </w:t>
      </w:r>
      <w:hyperlink r:id="rId69">
        <w:r>
          <w:rPr>
            <w:rStyle w:val="Hyperlink"/>
          </w:rPr>
          <w:t xml:space="preserve">https://doi.org/10.1136/bmjopen-2019-030943</w:t>
        </w:r>
      </w:hyperlink>
    </w:p>
    <w:bookmarkEnd w:id="70"/>
    <w:bookmarkStart w:id="72" w:name="ref-haddawayPRISMA2020PackageShiny2022"/>
    <w:p>
      <w:pPr>
        <w:pStyle w:val="Bibliography"/>
      </w:pPr>
      <w:r>
        <w:t xml:space="preserve">21.</w:t>
      </w:r>
      <w:r>
        <w:t xml:space="preserve"> </w:t>
      </w:r>
      <w:r>
        <w:t xml:space="preserve">	</w:t>
      </w:r>
      <w:r>
        <w:t xml:space="preserve">Haddaway NR, Page MJ, Pritchard CC, McGuinness LA (2022)</w:t>
      </w:r>
      <w:r>
        <w:t xml:space="preserve"> </w:t>
      </w:r>
      <w:hyperlink r:id="rId71">
        <w:r>
          <w:rPr>
            <w:rStyle w:val="Hyperlink"/>
          </w:rPr>
          <w:t xml:space="preserve">PRISMA2020</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and</w:t>
        </w:r>
        <w:r>
          <w:rPr>
            <w:rStyle w:val="Hyperlink"/>
          </w:rPr>
          <w:t xml:space="preserve"> </w:t>
        </w:r>
        <w:r>
          <w:rPr>
            <w:rStyle w:val="Hyperlink"/>
          </w:rPr>
          <w:t xml:space="preserve">Shiny</w:t>
        </w:r>
        <w:r>
          <w:rPr>
            <w:rStyle w:val="Hyperlink"/>
          </w:rPr>
          <w:t xml:space="preserve"> </w:t>
        </w:r>
        <w:r>
          <w:rPr>
            <w:rStyle w:val="Hyperlink"/>
          </w:rPr>
          <w:t xml:space="preserve">app for producing</w:t>
        </w:r>
        <w:r>
          <w:rPr>
            <w:rStyle w:val="Hyperlink"/>
          </w:rPr>
          <w:t xml:space="preserve"> </w:t>
        </w:r>
        <w:r>
          <w:rPr>
            <w:rStyle w:val="Hyperlink"/>
          </w:rPr>
          <w:t xml:space="preserve">PRISMA</w:t>
        </w:r>
        <w:r>
          <w:rPr>
            <w:rStyle w:val="Hyperlink"/>
          </w:rPr>
          <w:t xml:space="preserve"> </w:t>
        </w:r>
        <w:r>
          <w:rPr>
            <w:rStyle w:val="Hyperlink"/>
          </w:rPr>
          <w:t xml:space="preserve">2020-compliant flow diagrams, with interactivity for optimised digital transparency and</w:t>
        </w:r>
        <w:r>
          <w:rPr>
            <w:rStyle w:val="Hyperlink"/>
          </w:rPr>
          <w:t xml:space="preserve"> </w:t>
        </w:r>
        <w:r>
          <w:rPr>
            <w:rStyle w:val="Hyperlink"/>
          </w:rPr>
          <w:t xml:space="preserve">Open Synthesis</w:t>
        </w:r>
      </w:hyperlink>
      <w:r>
        <w:t xml:space="preserve">. Campbell Systematic Reviews 18:e1230</w:t>
      </w:r>
    </w:p>
    <w:bookmarkEnd w:id="72"/>
    <w:bookmarkStart w:id="74" w:name="X690a0f161ffd510f508077af519386febce046d"/>
    <w:p>
      <w:pPr>
        <w:pStyle w:val="Bibliography"/>
      </w:pPr>
      <w:r>
        <w:t xml:space="preserve">22.</w:t>
      </w:r>
      <w:r>
        <w:t xml:space="preserve"> </w:t>
      </w:r>
      <w:r>
        <w:t xml:space="preserve">	</w:t>
      </w:r>
      <w:r>
        <w:t xml:space="preserve">Struthers C, Harwood J, de Beyer JA, Dhiman P, Logullo P, Schlüssel M (2021)</w:t>
      </w:r>
      <w:r>
        <w:t xml:space="preserve"> </w:t>
      </w:r>
      <w:hyperlink r:id="rId73">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4"/>
    <w:bookmarkStart w:id="75" w:name="ref-ComplianceQuestionnaireARRIVE"/>
    <w:p>
      <w:pPr>
        <w:pStyle w:val="Bibliography"/>
      </w:pPr>
      <w:r>
        <w:t xml:space="preserve">23.</w:t>
      </w:r>
      <w:r>
        <w:t xml:space="preserve"> </w:t>
      </w:r>
      <w:r>
        <w:t xml:space="preserve">	</w:t>
      </w:r>
      <w:r>
        <w:t xml:space="preserve">Compliance</w:t>
      </w:r>
      <w:r>
        <w:t xml:space="preserve"> </w:t>
      </w:r>
      <w:r>
        <w:t xml:space="preserve">Questionnaire</w:t>
      </w:r>
      <w:r>
        <w:t xml:space="preserve"> </w:t>
      </w:r>
      <w:r>
        <w:t xml:space="preserve">|</w:t>
      </w:r>
      <w:r>
        <w:t xml:space="preserve"> </w:t>
      </w:r>
      <w:r>
        <w:t xml:space="preserve">ARRIVE Guidelines</w:t>
      </w:r>
      <w:r>
        <w:t xml:space="preserve">.</w:t>
      </w:r>
      <w:r>
        <w:t xml:space="preserve"> </w:t>
      </w:r>
    </w:p>
    <w:bookmarkEnd w:id="75"/>
    <w:bookmarkStart w:id="77" w:name="X15f457acbcc220a11e3cba81d4db041b8fd03d8"/>
    <w:p>
      <w:pPr>
        <w:pStyle w:val="Bibliography"/>
      </w:pPr>
      <w:r>
        <w:t xml:space="preserve">24.</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76">
        <w:r>
          <w:rPr>
            <w:rStyle w:val="Hyperlink"/>
          </w:rPr>
          <w:t xml:space="preserve">https://doi.org/10.1016/j.jclinepi.2023.08.004</w:t>
        </w:r>
      </w:hyperlink>
    </w:p>
    <w:bookmarkEnd w:id="77"/>
    <w:bookmarkStart w:id="79" w:name="X0fbbaa3f32946f939e2a1d4cf7b239bbeb353e6"/>
    <w:p>
      <w:pPr>
        <w:pStyle w:val="Bibliography"/>
      </w:pPr>
      <w:r>
        <w:t xml:space="preserve">25.</w:t>
      </w:r>
      <w:r>
        <w:t xml:space="preserve"> </w:t>
      </w:r>
      <w:r>
        <w:t xml:space="preserve">	</w:t>
      </w:r>
      <w:r>
        <w:t xml:space="preserve">de Jong Y, van der Willik EM, Milders J, Voorend CGN, Morton RL, Dekker FW, Meuleman Y, van Diepen M (2021)</w:t>
      </w:r>
      <w:r>
        <w:t xml:space="preserve"> </w:t>
      </w:r>
      <w:hyperlink r:id="rId78">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79"/>
    <w:bookmarkStart w:id="81" w:name="X2b83d62296f34bf67e0734121aba85eff73327d"/>
    <w:p>
      <w:pPr>
        <w:pStyle w:val="Bibliography"/>
      </w:pPr>
      <w:r>
        <w:t xml:space="preserve">26.</w:t>
      </w:r>
      <w:r>
        <w:t xml:space="preserve"> </w:t>
      </w:r>
      <w:r>
        <w:t xml:space="preserve">	</w:t>
      </w:r>
      <w:r>
        <w:t xml:space="preserve">Nedovic D, Panic N, Pastorino R, Ricciardi W, Boccia S (2016)</w:t>
      </w:r>
      <w:r>
        <w:t xml:space="preserve"> </w:t>
      </w:r>
      <w:hyperlink r:id="rId80">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81"/>
    <w:bookmarkStart w:id="83" w:name="ref-howellEffectSQUIREStandards2015"/>
    <w:p>
      <w:pPr>
        <w:pStyle w:val="Bibliography"/>
      </w:pPr>
      <w:r>
        <w:t xml:space="preserve">27.</w:t>
      </w:r>
      <w:r>
        <w:t xml:space="preserve"> </w:t>
      </w:r>
      <w:r>
        <w:t xml:space="preserve">	</w:t>
      </w:r>
      <w:r>
        <w:t xml:space="preserve">Howell V, Schwartz AE, O’Leary JD, Donnell CM (2015)</w:t>
      </w:r>
      <w:r>
        <w:t xml:space="preserve"> </w:t>
      </w:r>
      <w:hyperlink r:id="rId82">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83"/>
    <w:bookmarkStart w:id="85" w:name="X1c9d57f75a0fa718f061cba0beeb115706f462f"/>
    <w:p>
      <w:pPr>
        <w:pStyle w:val="Bibliography"/>
      </w:pPr>
      <w:r>
        <w:t xml:space="preserve">28.</w:t>
      </w:r>
      <w:r>
        <w:t xml:space="preserve"> </w:t>
      </w:r>
      <w:r>
        <w:t xml:space="preserve">	</w:t>
      </w:r>
      <w:r>
        <w:t xml:space="preserve">Pouwels KB, Widyakusuma NN, Groenwold RHH, Hak E (2016)</w:t>
      </w:r>
      <w:r>
        <w:t xml:space="preserve"> </w:t>
      </w:r>
      <w:hyperlink r:id="rId84">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85"/>
    <w:bookmarkStart w:id="87" w:name="X1215944d87e3e34f270283b97080549ea440566"/>
    <w:p>
      <w:pPr>
        <w:pStyle w:val="Bibliography"/>
      </w:pPr>
      <w:r>
        <w:t xml:space="preserve">29.</w:t>
      </w:r>
      <w:r>
        <w:t xml:space="preserve"> </w:t>
      </w:r>
      <w:r>
        <w:t xml:space="preserve">	</w:t>
      </w:r>
      <w:r>
        <w:t xml:space="preserve">Bastuji-Garin S, Sbidian E, Gaudy-Marqueste C, Ferrat E, Roujeau J-C, Richard M-A, Canoui-Poitrine F, European Dermatology Network (EDEN) (2013)</w:t>
      </w:r>
      <w:r>
        <w:t xml:space="preserve"> </w:t>
      </w:r>
      <w:hyperlink r:id="rId86">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87"/>
    <w:bookmarkStart w:id="89" w:name="Xb0e98cf8b54eae0a76266268dfd1619c8ed84b8"/>
    <w:p>
      <w:pPr>
        <w:pStyle w:val="Bibliography"/>
      </w:pPr>
      <w:r>
        <w:t xml:space="preserve">30.</w:t>
      </w:r>
      <w:r>
        <w:t xml:space="preserve"> </w:t>
      </w:r>
      <w:r>
        <w:t xml:space="preserve">	</w:t>
      </w:r>
      <w:r>
        <w:t xml:space="preserve">Hopewell S, Ravaud P, Baron G, Boutron I (2012)</w:t>
      </w:r>
      <w:r>
        <w:t xml:space="preserve"> </w:t>
      </w:r>
      <w:hyperlink r:id="rId88">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89"/>
    <w:bookmarkStart w:id="91" w:name="ref-botosReportedUseReporting2018a"/>
    <w:p>
      <w:pPr>
        <w:pStyle w:val="Bibliography"/>
      </w:pPr>
      <w:r>
        <w:t xml:space="preserve">31.</w:t>
      </w:r>
      <w:r>
        <w:t xml:space="preserve"> </w:t>
      </w:r>
      <w:r>
        <w:t xml:space="preserve">	</w:t>
      </w:r>
      <w:r>
        <w:t xml:space="preserve">Botos J (2018)</w:t>
      </w:r>
      <w:r>
        <w:t xml:space="preserve"> </w:t>
      </w:r>
      <w:hyperlink r:id="rId9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91"/>
    <w:bookmarkStart w:id="93" w:name="ref-hairRandomisedControlledTrial2019"/>
    <w:p>
      <w:pPr>
        <w:pStyle w:val="Bibliography"/>
      </w:pPr>
      <w:r>
        <w:t xml:space="preserve">32.</w:t>
      </w:r>
      <w:r>
        <w:t xml:space="preserve"> </w:t>
      </w:r>
      <w:r>
        <w:t xml:space="preserve">	</w:t>
      </w:r>
      <w:r>
        <w:t xml:space="preserve">Hair K, Macleod MR, Sena ES, et al (2019)</w:t>
      </w:r>
      <w:r>
        <w:t xml:space="preserve"> </w:t>
      </w:r>
      <w:hyperlink r:id="rId9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93"/>
    <w:bookmarkStart w:id="95" w:name="ref-hopewellImpactWebbasedTool2016"/>
    <w:p>
      <w:pPr>
        <w:pStyle w:val="Bibliography"/>
      </w:pPr>
      <w:r>
        <w:t xml:space="preserve">33.</w:t>
      </w:r>
      <w:r>
        <w:t xml:space="preserve"> </w:t>
      </w:r>
      <w:r>
        <w:t xml:space="preserve">	</w:t>
      </w:r>
      <w:r>
        <w:t xml:space="preserve">Hopewell S, Boutron I, Altman DG, et al (2016)</w:t>
      </w:r>
      <w:r>
        <w:t xml:space="preserve"> </w:t>
      </w:r>
      <w:hyperlink r:id="rId9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95"/>
    <w:bookmarkStart w:id="97" w:name="ref-coboStatisticalReviewersImprove2007"/>
    <w:p>
      <w:pPr>
        <w:pStyle w:val="Bibliography"/>
      </w:pPr>
      <w:r>
        <w:t xml:space="preserve">34.</w:t>
      </w:r>
      <w:r>
        <w:t xml:space="preserve"> </w:t>
      </w:r>
      <w:r>
        <w:t xml:space="preserve">	</w:t>
      </w:r>
      <w:r>
        <w:t xml:space="preserve">Cobo E, Selva-O’Callagham A, Ribera J-M, Cardellach F, Dominguez R, Vilardell M (2007)</w:t>
      </w:r>
      <w:r>
        <w:t xml:space="preserve"> </w:t>
      </w:r>
      <w:hyperlink r:id="rId9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97"/>
    <w:bookmarkStart w:id="99" w:name="ref-coboEffectUsingReporting2011"/>
    <w:p>
      <w:pPr>
        <w:pStyle w:val="Bibliography"/>
      </w:pPr>
      <w:r>
        <w:t xml:space="preserve">35.</w:t>
      </w:r>
      <w:r>
        <w:t xml:space="preserve"> </w:t>
      </w:r>
      <w:r>
        <w:t xml:space="preserve">	</w:t>
      </w:r>
      <w:r>
        <w:t xml:space="preserve">Cobo E, Cortés J, Ribera JM, et al (2011)</w:t>
      </w:r>
      <w:r>
        <w:t xml:space="preserve"> </w:t>
      </w:r>
      <w:hyperlink r:id="rId98">
        <w:r>
          <w:rPr>
            <w:rStyle w:val="Hyperlink"/>
          </w:rPr>
          <w:t xml:space="preserve">Effect of using reporting guidelines during peer review on quality of final manuscripts submitted to a biomedical journal: Masked randomised trial</w:t>
        </w:r>
      </w:hyperlink>
      <w:r>
        <w:t xml:space="preserve">. BMJ 343:d6783</w:t>
      </w:r>
    </w:p>
    <w:bookmarkEnd w:id="99"/>
    <w:bookmarkStart w:id="101" w:name="Xd58d49564d95109b731976a9a71ff8d1fcf6297"/>
    <w:p>
      <w:pPr>
        <w:pStyle w:val="Bibliography"/>
      </w:pPr>
      <w:r>
        <w:t xml:space="preserve">36.</w:t>
      </w:r>
      <w:r>
        <w:t xml:space="preserve"> </w:t>
      </w:r>
      <w:r>
        <w:t xml:space="preserve">	</w:t>
      </w:r>
      <w:r>
        <w:t xml:space="preserve">Pandis N, Shamseer L, Kokich VG, Fleming PS, Moher D (2014)</w:t>
      </w:r>
      <w:r>
        <w:t xml:space="preserve"> </w:t>
      </w:r>
      <w:hyperlink r:id="rId10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101"/>
    <w:bookmarkStart w:id="103" w:name="ref-jinDoesMedicalLiterature2018"/>
    <w:p>
      <w:pPr>
        <w:pStyle w:val="Bibliography"/>
      </w:pPr>
      <w:r>
        <w:t xml:space="preserve">37.</w:t>
      </w:r>
      <w:r>
        <w:t xml:space="preserve"> </w:t>
      </w:r>
      <w:r>
        <w:t xml:space="preserve">	</w:t>
      </w:r>
      <w:r>
        <w:t xml:space="preserve">Jin Y, Sanger N, Shams I, et al (2018)</w:t>
      </w:r>
      <w:r>
        <w:t xml:space="preserve"> </w:t>
      </w:r>
      <w:hyperlink r:id="rId10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103"/>
    <w:bookmarkStart w:id="104" w:name="ref-santoMethodsResultsStudies2023a"/>
    <w:p>
      <w:pPr>
        <w:pStyle w:val="Bibliography"/>
      </w:pPr>
      <w:r>
        <w:t xml:space="preserve">38.</w:t>
      </w:r>
      <w:r>
        <w:t xml:space="preserve"> </w:t>
      </w:r>
      <w:r>
        <w:t xml:space="preserve">	</w:t>
      </w:r>
      <w:r>
        <w:t xml:space="preserve">Santo TD, Rice DB, Amiri LSN, Tasleem A, Li K, Boruff JT, Geoffroy M-C, Benedetti A, Thombs BD (2023)</w:t>
      </w:r>
      <w:r>
        <w:t xml:space="preserve"> </w:t>
      </w:r>
      <w:hyperlink r:id="rId50">
        <w:r>
          <w:rPr>
            <w:rStyle w:val="Hyperlink"/>
          </w:rPr>
          <w:t xml:space="preserve">Methods and results of studies on reporting guideline adherence are poorly reported: A meta-research study</w:t>
        </w:r>
      </w:hyperlink>
      <w:r>
        <w:t xml:space="preserve">. Journal of Clinical Epidemiology 159:225–234</w:t>
      </w:r>
    </w:p>
    <w:bookmarkEnd w:id="104"/>
    <w:bookmarkStart w:id="106" w:name="ref-glasziouReducingWasteIncomplete2014"/>
    <w:p>
      <w:pPr>
        <w:pStyle w:val="Bibliography"/>
      </w:pPr>
      <w:r>
        <w:t xml:space="preserve">39.</w:t>
      </w:r>
      <w:r>
        <w:t xml:space="preserve"> </w:t>
      </w:r>
      <w:r>
        <w:t xml:space="preserve">	</w:t>
      </w:r>
      <w:r>
        <w:t xml:space="preserve">Glasziou P, Altman DG, Bossuyt P, Boutron I, Clarke M, Julious S, Michie S, Moher D, Wager E (2014)</w:t>
      </w:r>
      <w:r>
        <w:t xml:space="preserve"> </w:t>
      </w:r>
      <w:hyperlink r:id="rId105">
        <w:r>
          <w:rPr>
            <w:rStyle w:val="Hyperlink"/>
          </w:rPr>
          <w:t xml:space="preserve">Reducing waste from incomplete or unusable reports of biomedical research</w:t>
        </w:r>
      </w:hyperlink>
      <w:r>
        <w:t xml:space="preserve">. Lancet (London, England) 383:267–276</w:t>
      </w:r>
    </w:p>
    <w:bookmarkEnd w:id="106"/>
    <w:bookmarkEnd w:id="107"/>
    <w:bookmarkEnd w:id="10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1/jama.1996.03540080059030" TargetMode="External" /><Relationship Type="http://schemas.openxmlformats.org/officeDocument/2006/relationships/hyperlink" Id="rId71" Target="https://doi.org/10.1002/cl2.1230" TargetMode="External" /><Relationship Type="http://schemas.openxmlformats.org/officeDocument/2006/relationships/hyperlink" Id="rId46" Target="https://doi.org/10.1002/cpt197415197" TargetMode="External" /><Relationship Type="http://schemas.openxmlformats.org/officeDocument/2006/relationships/hyperlink" Id="rId63" Target="https://doi.org/10.1002/nau.22726" TargetMode="External" /><Relationship Type="http://schemas.openxmlformats.org/officeDocument/2006/relationships/hyperlink" Id="rId38" Target="https://doi.org/10.1007/BF01562195" TargetMode="External" /><Relationship Type="http://schemas.openxmlformats.org/officeDocument/2006/relationships/hyperlink" Id="rId105" Target="https://doi.org/10.1016/S0140-6736(13)62228-X" TargetMode="External" /><Relationship Type="http://schemas.openxmlformats.org/officeDocument/2006/relationships/hyperlink" Id="rId100" Target="https://doi.org/10.1016/j.jclinepi.2014.04.001" TargetMode="External" /><Relationship Type="http://schemas.openxmlformats.org/officeDocument/2006/relationships/hyperlink" Id="rId84" Target="https://doi.org/10.1016/j.jclinepi.2015.08.009" TargetMode="External" /><Relationship Type="http://schemas.openxmlformats.org/officeDocument/2006/relationships/hyperlink" Id="rId60" Target="https://doi.org/10.1016/j.jclinepi.2020.07.013" TargetMode="External" /><Relationship Type="http://schemas.openxmlformats.org/officeDocument/2006/relationships/hyperlink" Id="rId48" Target="https://doi.org/10.1016/j.jclinepi.2021.05.020" TargetMode="External" /><Relationship Type="http://schemas.openxmlformats.org/officeDocument/2006/relationships/hyperlink" Id="rId50" Target="https://doi.org/10.1016/j.jclinepi.2023.05.017" TargetMode="External" /><Relationship Type="http://schemas.openxmlformats.org/officeDocument/2006/relationships/hyperlink" Id="rId76" Target="https://doi.org/10.1016/j.jclinepi.2023.08.004" TargetMode="External" /><Relationship Type="http://schemas.openxmlformats.org/officeDocument/2006/relationships/hyperlink" Id="rId42" Target="https://doi.org/10.1016/j.neuroimage.2012.07.004" TargetMode="External" /><Relationship Type="http://schemas.openxmlformats.org/officeDocument/2006/relationships/hyperlink" Id="rId58" Target="https://doi.org/10.1097/ACM.0000000000000388" TargetMode="External" /><Relationship Type="http://schemas.openxmlformats.org/officeDocument/2006/relationships/hyperlink" Id="rId54" Target="https://doi.org/10.1136/bmj.313.7057.570" TargetMode="External" /><Relationship Type="http://schemas.openxmlformats.org/officeDocument/2006/relationships/hyperlink" Id="rId44" Target="https://doi.org/10.1136/bmj.39590.732037.47" TargetMode="External" /><Relationship Type="http://schemas.openxmlformats.org/officeDocument/2006/relationships/hyperlink" Id="rId98" Target="https://doi.org/10.1136/bmj.d6783" TargetMode="External" /><Relationship Type="http://schemas.openxmlformats.org/officeDocument/2006/relationships/hyperlink" Id="rId88" Target="https://doi.org/10.1136/bmj.e4178" TargetMode="External" /><Relationship Type="http://schemas.openxmlformats.org/officeDocument/2006/relationships/hyperlink" Id="rId40" Target="https://doi.org/10.1136/bmj.j2490" TargetMode="External" /><Relationship Type="http://schemas.openxmlformats.org/officeDocument/2006/relationships/hyperlink" Id="rId69" Target="https://doi.org/10.1136/bmjopen-2019-030943" TargetMode="External" /><Relationship Type="http://schemas.openxmlformats.org/officeDocument/2006/relationships/hyperlink" Id="rId82" Target="https://doi.org/10.1136/bmjqs-2014-003737" TargetMode="External" /><Relationship Type="http://schemas.openxmlformats.org/officeDocument/2006/relationships/hyperlink" Id="rId78" Target="https://doi.org/10.1186/s12874-021-01363-1" TargetMode="External" /><Relationship Type="http://schemas.openxmlformats.org/officeDocument/2006/relationships/hyperlink" Id="rId73" Target="https://doi.org/10.1186/s12874-021-01402-x" TargetMode="External" /><Relationship Type="http://schemas.openxmlformats.org/officeDocument/2006/relationships/hyperlink" Id="rId36" Target="https://doi.org/10.1186/s12874-021-01501-9" TargetMode="External" /><Relationship Type="http://schemas.openxmlformats.org/officeDocument/2006/relationships/hyperlink" Id="rId67" Target="https://doi.org/10.1186/s12916-015-0460-y" TargetMode="External" /><Relationship Type="http://schemas.openxmlformats.org/officeDocument/2006/relationships/hyperlink" Id="rId94" Target="https://doi.org/10.1186/s12916-016-0736-x" TargetMode="External" /><Relationship Type="http://schemas.openxmlformats.org/officeDocument/2006/relationships/hyperlink" Id="rId90" Target="https://doi.org/10.1186/s41073-018-0052-4" TargetMode="External" /><Relationship Type="http://schemas.openxmlformats.org/officeDocument/2006/relationships/hyperlink" Id="rId92" Target="https://doi.org/10.1186/s41073-019-0069-3" TargetMode="External" /><Relationship Type="http://schemas.openxmlformats.org/officeDocument/2006/relationships/hyperlink" Id="rId96" Target="https://doi.org/10.1371/journal.pone.0000332" TargetMode="External" /><Relationship Type="http://schemas.openxmlformats.org/officeDocument/2006/relationships/hyperlink" Id="rId86" Target="https://doi.org/10.1371/journal.pone.0064733" TargetMode="External" /><Relationship Type="http://schemas.openxmlformats.org/officeDocument/2006/relationships/hyperlink" Id="rId102" Target="https://doi.org/10.2147/JMDH.S155103" TargetMode="External" /><Relationship Type="http://schemas.openxmlformats.org/officeDocument/2006/relationships/hyperlink" Id="rId80" Target="https://doi.org/10.2188/jea.JE20150173" TargetMode="External" /><Relationship Type="http://schemas.openxmlformats.org/officeDocument/2006/relationships/hyperlink" Id="rId56" Target="https://doi.org/10.7326/0003-4819-134-8-200104170-00012" TargetMode="External" /><Relationship Type="http://schemas.openxmlformats.org/officeDocument/2006/relationships/hyperlink" Id="rId34" Target="https://www.ncbi.nlm.nih.gov/pmc/articles/PMC351869"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1/jama.1996.03540080059030" TargetMode="External" /><Relationship Type="http://schemas.openxmlformats.org/officeDocument/2006/relationships/hyperlink" Id="rId71" Target="https://doi.org/10.1002/cl2.1230" TargetMode="External" /><Relationship Type="http://schemas.openxmlformats.org/officeDocument/2006/relationships/hyperlink" Id="rId46" Target="https://doi.org/10.1002/cpt197415197" TargetMode="External" /><Relationship Type="http://schemas.openxmlformats.org/officeDocument/2006/relationships/hyperlink" Id="rId63" Target="https://doi.org/10.1002/nau.22726" TargetMode="External" /><Relationship Type="http://schemas.openxmlformats.org/officeDocument/2006/relationships/hyperlink" Id="rId38" Target="https://doi.org/10.1007/BF01562195" TargetMode="External" /><Relationship Type="http://schemas.openxmlformats.org/officeDocument/2006/relationships/hyperlink" Id="rId105" Target="https://doi.org/10.1016/S0140-6736(13)62228-X" TargetMode="External" /><Relationship Type="http://schemas.openxmlformats.org/officeDocument/2006/relationships/hyperlink" Id="rId100" Target="https://doi.org/10.1016/j.jclinepi.2014.04.001" TargetMode="External" /><Relationship Type="http://schemas.openxmlformats.org/officeDocument/2006/relationships/hyperlink" Id="rId84" Target="https://doi.org/10.1016/j.jclinepi.2015.08.009" TargetMode="External" /><Relationship Type="http://schemas.openxmlformats.org/officeDocument/2006/relationships/hyperlink" Id="rId60" Target="https://doi.org/10.1016/j.jclinepi.2020.07.013" TargetMode="External" /><Relationship Type="http://schemas.openxmlformats.org/officeDocument/2006/relationships/hyperlink" Id="rId48" Target="https://doi.org/10.1016/j.jclinepi.2021.05.020" TargetMode="External" /><Relationship Type="http://schemas.openxmlformats.org/officeDocument/2006/relationships/hyperlink" Id="rId50" Target="https://doi.org/10.1016/j.jclinepi.2023.05.017" TargetMode="External" /><Relationship Type="http://schemas.openxmlformats.org/officeDocument/2006/relationships/hyperlink" Id="rId76" Target="https://doi.org/10.1016/j.jclinepi.2023.08.004" TargetMode="External" /><Relationship Type="http://schemas.openxmlformats.org/officeDocument/2006/relationships/hyperlink" Id="rId42" Target="https://doi.org/10.1016/j.neuroimage.2012.07.004" TargetMode="External" /><Relationship Type="http://schemas.openxmlformats.org/officeDocument/2006/relationships/hyperlink" Id="rId58" Target="https://doi.org/10.1097/ACM.0000000000000388" TargetMode="External" /><Relationship Type="http://schemas.openxmlformats.org/officeDocument/2006/relationships/hyperlink" Id="rId54" Target="https://doi.org/10.1136/bmj.313.7057.570" TargetMode="External" /><Relationship Type="http://schemas.openxmlformats.org/officeDocument/2006/relationships/hyperlink" Id="rId44" Target="https://doi.org/10.1136/bmj.39590.732037.47" TargetMode="External" /><Relationship Type="http://schemas.openxmlformats.org/officeDocument/2006/relationships/hyperlink" Id="rId98" Target="https://doi.org/10.1136/bmj.d6783" TargetMode="External" /><Relationship Type="http://schemas.openxmlformats.org/officeDocument/2006/relationships/hyperlink" Id="rId88" Target="https://doi.org/10.1136/bmj.e4178" TargetMode="External" /><Relationship Type="http://schemas.openxmlformats.org/officeDocument/2006/relationships/hyperlink" Id="rId40" Target="https://doi.org/10.1136/bmj.j2490" TargetMode="External" /><Relationship Type="http://schemas.openxmlformats.org/officeDocument/2006/relationships/hyperlink" Id="rId69" Target="https://doi.org/10.1136/bmjopen-2019-030943" TargetMode="External" /><Relationship Type="http://schemas.openxmlformats.org/officeDocument/2006/relationships/hyperlink" Id="rId82" Target="https://doi.org/10.1136/bmjqs-2014-003737" TargetMode="External" /><Relationship Type="http://schemas.openxmlformats.org/officeDocument/2006/relationships/hyperlink" Id="rId78" Target="https://doi.org/10.1186/s12874-021-01363-1" TargetMode="External" /><Relationship Type="http://schemas.openxmlformats.org/officeDocument/2006/relationships/hyperlink" Id="rId73" Target="https://doi.org/10.1186/s12874-021-01402-x" TargetMode="External" /><Relationship Type="http://schemas.openxmlformats.org/officeDocument/2006/relationships/hyperlink" Id="rId36" Target="https://doi.org/10.1186/s12874-021-01501-9" TargetMode="External" /><Relationship Type="http://schemas.openxmlformats.org/officeDocument/2006/relationships/hyperlink" Id="rId67" Target="https://doi.org/10.1186/s12916-015-0460-y" TargetMode="External" /><Relationship Type="http://schemas.openxmlformats.org/officeDocument/2006/relationships/hyperlink" Id="rId94" Target="https://doi.org/10.1186/s12916-016-0736-x" TargetMode="External" /><Relationship Type="http://schemas.openxmlformats.org/officeDocument/2006/relationships/hyperlink" Id="rId90" Target="https://doi.org/10.1186/s41073-018-0052-4" TargetMode="External" /><Relationship Type="http://schemas.openxmlformats.org/officeDocument/2006/relationships/hyperlink" Id="rId92" Target="https://doi.org/10.1186/s41073-019-0069-3" TargetMode="External" /><Relationship Type="http://schemas.openxmlformats.org/officeDocument/2006/relationships/hyperlink" Id="rId96" Target="https://doi.org/10.1371/journal.pone.0000332" TargetMode="External" /><Relationship Type="http://schemas.openxmlformats.org/officeDocument/2006/relationships/hyperlink" Id="rId86" Target="https://doi.org/10.1371/journal.pone.0064733" TargetMode="External" /><Relationship Type="http://schemas.openxmlformats.org/officeDocument/2006/relationships/hyperlink" Id="rId102" Target="https://doi.org/10.2147/JMDH.S155103" TargetMode="External" /><Relationship Type="http://schemas.openxmlformats.org/officeDocument/2006/relationships/hyperlink" Id="rId80" Target="https://doi.org/10.2188/jea.JE20150173" TargetMode="External" /><Relationship Type="http://schemas.openxmlformats.org/officeDocument/2006/relationships/hyperlink" Id="rId56" Target="https://doi.org/10.7326/0003-4819-134-8-200104170-00012" TargetMode="External" /><Relationship Type="http://schemas.openxmlformats.org/officeDocument/2006/relationships/hyperlink" Id="rId34" Target="https://www.ncbi.nlm.nih.gov/pmc/articles/PMC351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2024-01-17T18:32:09Z</dcterms:created>
  <dcterms:modified xsi:type="dcterms:W3CDTF">2024-01-17T18:32:09Z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