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complexity"/>
    <w:p>
      <w:pPr>
        <w:pStyle w:val="TableCaption"/>
      </w:pPr>
      <w:r>
        <w:t xml:space="preserve">Table 1: Sources of complexity within reporting guidelines and the system drives their use.</w:t>
      </w:r>
    </w:p>
    <w:tbl>
      <w:tblPr>
        <w:tblStyle w:val="Table"/>
        <w:tblW w:type="pct" w:w="5000"/>
        <w:tblLook w:firstRow="1" w:lastRow="0" w:firstColumn="0" w:lastColumn="0" w:noHBand="0" w:noVBand="0" w:val="0020"/>
        <w:jc w:val="start"/>
        <w:tblCaption w:val="Table 1: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2024-01-17T18:32:04Z</dcterms:created>
  <dcterms:modified xsi:type="dcterms:W3CDTF">2024-01-17T18:32:04Z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