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21"/>
        <w:tblLook w:firstRow="1" w:lastRow="0" w:firstColumn="0" w:lastColumn="0" w:noHBand="0" w:noVBand="0" w:val="0020"/>
        <w:jc w:val="start"/>
        <w:tblCaption w:val="Table 1: A selection of highly cited reporting guidelines"/>
      </w:tblPr>
      <w:tblGrid>
        <w:gridCol w:w="1110"/>
        <w:gridCol w:w="1236"/>
        <w:gridCol w:w="1039"/>
        <w:gridCol w:w="842"/>
        <w:gridCol w:w="483"/>
        <w:gridCol w:w="698"/>
        <w:gridCol w:w="967"/>
        <w:gridCol w:w="483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checklist that can be filled in?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it aim to influence designing?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3" w:name="refs"/>
    <w:bookmarkStart w:id="22" w:name="ref-obrien201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 reporting qualitative research: A synthesis of recommendations</w:t>
        </w:r>
      </w:hyperlink>
      <w:r>
        <w:t xml:space="preserve">. Academic Medicine 89:12451251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2023-10-24T09:56:04Z</dcterms:created>
  <dcterms:modified xsi:type="dcterms:W3CDTF">2023-10-24T09:56:04Z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