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starting</w:t>
      </w:r>
      <w:r>
        <w:t xml:space="preserve"> </w:t>
      </w:r>
      <w:r>
        <w:t xml:space="preserve">my</w:t>
      </w:r>
      <w:r>
        <w:t xml:space="preserve"> </w:t>
      </w:r>
      <w:r>
        <w:t xml:space="preserve">DPhil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The remaining chapters end with shorter reflections where I consider how my beliefs may have shaped my research and how doing the research had, in turn, shaped my beliefs.</w:t>
      </w:r>
    </w:p>
    <w:p>
      <w:pPr>
        <w:pStyle w:val="BodyText"/>
      </w:pPr>
      <w:r>
        <w:t xml:space="preserve">This thesis marks the ten-year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I was working in a psychology laboratory at the time, having recently finished a MSc in Neuroscience.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began working with academic journals, and came to appreciate that reporting guidelines are one of many priorities for editors, and often fall behind more pressing issues like ethics, consent, image duplication, and paper mills.</w:t>
      </w:r>
    </w:p>
    <w:p>
      <w:pPr>
        <w:pStyle w:val="BodyText"/>
      </w:pPr>
      <w:r>
        <w:t xml:space="preserve">I later worked with EQUATOR to create GoodReports.org</w:t>
      </w:r>
      <w:r>
        <w:t xml:space="preserve"> </w:t>
      </w:r>
      <w:r>
        <w:t xml:space="preserve">[6]</w:t>
      </w:r>
      <w:r>
        <w:t xml:space="preserve">, a website where authors can find and complete reporting checklists. EQUATOR and I collaborated with BMJ Open in 2018 to see whether authors improved their manuscripts after completing a checklist as part of manuscript submission</w:t>
      </w:r>
      <w:r>
        <w:t xml:space="preserve"> </w:t>
      </w:r>
      <w:r>
        <w:t xml:space="preserve">[7]</w:t>
      </w:r>
      <w:r>
        <w:t xml:space="preserve">. The results were disappointing. Few authors made any changes.</w:t>
      </w:r>
    </w:p>
    <w:p>
      <w:pPr>
        <w:pStyle w:val="BodyText"/>
      </w:pPr>
      <w:r>
        <w:t xml:space="preserve">I was awfully demoralized. It was tempting to blame the failure on lazy authors paying lip service to the checklists because they know that equally-lazy editors will not check. Indeed, this is a refrain I have heard bandied around by frustrated guideline developers. However, a tenet of software development is that when it comes to how a user experiences a product (or service), they</w:t>
      </w:r>
      <w:r>
        <w:t xml:space="preserve"> </w:t>
      </w:r>
      <w:r>
        <w:rPr>
          <w:iCs/>
          <w:i/>
        </w:rPr>
        <w:t xml:space="preserve">cannot</w:t>
      </w:r>
      <w:r>
        <w:t xml:space="preserve"> </w:t>
      </w:r>
      <w:r>
        <w:t xml:space="preserve">be wrong. A software developer that blames poor design on</w:t>
      </w:r>
      <w:r>
        <w:t xml:space="preserve"> </w:t>
      </w:r>
      <w:r>
        <w:t xml:space="preserve">“</w:t>
      </w:r>
      <w:r>
        <w:t xml:space="preserve">lazy users</w:t>
      </w:r>
      <w:r>
        <w:t xml:space="preserve">”</w:t>
      </w:r>
      <w:r>
        <w:t xml:space="preserve"> </w:t>
      </w:r>
      <w:r>
        <w:t xml:space="preserve">will quickly find themselves out of a job. If users do not use your product, or do not use it how you would expect them to, then your product may lack usability (users cannot understand or use it), product market fit (users do not need or want it), or awareness (users do not know about it). It is the creator’s responsibility to make their product known, foolproof, and useful.</w:t>
      </w:r>
    </w:p>
    <w:p>
      <w:pPr>
        <w:pStyle w:val="BodyText"/>
      </w:pPr>
      <w:r>
        <w:t xml:space="preserve">Understanding users’ experiences and needs is therefore central to making a successful product. It is also very difficult. Like many developers, I am happier behind a screen and talking to users never came naturally to me. Instead, I often latched on to an idea before understanding the people I was trying to help, or the problem I was trying to solve. This was a good strategy for building things nobody wanted.</w:t>
      </w:r>
    </w:p>
    <w:p>
      <w:pPr>
        <w:pStyle w:val="BodyText"/>
      </w:pPr>
      <w:r>
        <w:t xml:space="preserve">I almost fell into the same trap when starting my DPhil. In my interview I adamantly pitched a tool to create personalised checklists by combining reporting guidelines with journal, funder, and institutional requirements. I envisioned something akin to WebCONSORT on steroids. The old me would have happily spent months falling down that rabbit hole, building something (probably) useless; the custom checklists would have been incredibly long and probably confusing. The new me, the me writing this paragraph, is glad I paused and spent a year trying to better understand authors experiences and needs.</w:t>
      </w:r>
    </w:p>
    <w:p>
      <w:pPr>
        <w:pStyle w:val="BodyText"/>
      </w:pPr>
      <w:r>
        <w:t xml:space="preserve">On starting my DPhil, I had never used a reporting guideline myself, despite recommending others to do so. Yet I held them in high regard, as did my three initial supervisors.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my thesis was fixed on a qualitative course. Qualitative behaviour change research was new territory for Gary, Jen, Michael, and I, and we needed an expert. Charlotte came to my rescue. She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she uses in her own work</w:t>
      </w:r>
      <w:r>
        <w:t xml:space="preserve"> </w:t>
      </w:r>
      <w:r>
        <w:t xml:space="preserve">[8]</w:t>
      </w:r>
      <w:r>
        <w:t xml:space="preserve">. Whereas Jen, Michael, and Gary can be described as reporting guideline advocates, Charlotte was a little more cool-headed. Although she considered reporting guidelines useful for writing up quantitative work, she found guidelines for qualitative research frustrating because they were developed from a positivist perspective, and so did not fit all qualitative work.</w:t>
      </w:r>
    </w:p>
    <w:p>
      <w:pPr>
        <w:pStyle w:val="BodyText"/>
      </w:pPr>
      <w:r>
        <w:t xml:space="preserve">In summary, I came to this DPhil with an existing passion for improving research, a deep respect for reporting guidelines and EQUATOR, and with determination to make something helpful after rebounding from the disappointing BMJ Open study. Sitting atop some rusty, decade-old research experience, I had a software developer’s vocabulary and mindset. Core to this mindset was a belief that if people do not use what you have made in the way you want them to, it is</w:t>
      </w:r>
      <w:r>
        <w:t xml:space="preserve"> </w:t>
      </w:r>
      <w:r>
        <w:rPr>
          <w:iCs/>
          <w:i/>
        </w:rPr>
        <w:t xml:space="preserve">not</w:t>
      </w:r>
      <w:r>
        <w:t xml:space="preserve"> </w:t>
      </w:r>
      <w:r>
        <w:t xml:space="preserve">their responsibility to change their behaviour. It is</w:t>
      </w:r>
      <w:r>
        <w:t xml:space="preserve"> </w:t>
      </w:r>
      <w:r>
        <w:rPr>
          <w:iCs/>
          <w:i/>
        </w:rPr>
        <w:t xml:space="preserve">your</w:t>
      </w:r>
      <w:r>
        <w:t xml:space="preserve"> </w:t>
      </w:r>
      <w:r>
        <w:t xml:space="preserve">responsibility to change what you have made. The challenge is figuring out what changes you need to make.</w:t>
      </w:r>
    </w:p>
    <w:p>
      <w:pPr>
        <w:pStyle w:val="BodyText"/>
      </w:pPr>
      <w:r>
        <w:t xml:space="preserve">Having set the scene, I’ll begin my thesis where I began my research: by trying to understand why authors do not adhere to reporting guidelines. In chapter 1 I described the evidence that reporting guidelines have had little effect on reporting quality. I wanted to know</w:t>
      </w:r>
      <w:r>
        <w:t xml:space="preserve"> </w:t>
      </w:r>
      <w:r>
        <w:rPr>
          <w:iCs/>
          <w:i/>
        </w:rPr>
        <w:t xml:space="preserve">why</w:t>
      </w:r>
      <w:r>
        <w:t xml:space="preserve">. Chapters 3 - 5 describe my mixed method approach to finding possible answers to this question. In the next chapter, I describe how my first step was to seek and synthesise all available qualitative data exploring this question.</w:t>
      </w:r>
    </w:p>
    <w:bookmarkStart w:id="33"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8" w:name="ref-GoodReportsOrg"/>
    <w:p>
      <w:pPr>
        <w:pStyle w:val="Bibliography"/>
      </w:pPr>
      <w:r>
        <w:t xml:space="preserve">6.</w:t>
      </w:r>
      <w:r>
        <w:t xml:space="preserve"> </w:t>
      </w:r>
      <w:r>
        <w:t xml:space="preserve">	</w:t>
      </w:r>
      <w:r>
        <w:t xml:space="preserve">GoodReports</w:t>
      </w:r>
      <w:r>
        <w:t xml:space="preserve">.org.</w:t>
      </w:r>
      <w:r>
        <w:t xml:space="preserve"> </w:t>
      </w:r>
    </w:p>
    <w:bookmarkEnd w:id="28"/>
    <w:bookmarkStart w:id="30" w:name="X690a0f161ffd510f508077af519386febce046d"/>
    <w:p>
      <w:pPr>
        <w:pStyle w:val="Bibliography"/>
      </w:pPr>
      <w:r>
        <w:t xml:space="preserve">7.</w:t>
      </w:r>
      <w:r>
        <w:t xml:space="preserve"> </w:t>
      </w:r>
      <w:r>
        <w:t xml:space="preserve">	</w:t>
      </w:r>
      <w:r>
        <w:t xml:space="preserve">Struthers C, Harwood J, de Beyer JA, Dhiman P, Logullo P, Schlüssel M (2021)</w:t>
      </w:r>
      <w:r>
        <w:t xml:space="preserve"> </w:t>
      </w:r>
      <w:hyperlink r:id="rId2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0"/>
    <w:bookmarkStart w:id="32" w:name="ref-alburyGenderConsolidatedCriteria2021"/>
    <w:p>
      <w:pPr>
        <w:pStyle w:val="Bibliography"/>
      </w:pPr>
      <w:r>
        <w:t xml:space="preserve">8.</w:t>
      </w:r>
      <w:r>
        <w:t xml:space="preserve"> </w:t>
      </w:r>
      <w:r>
        <w:t xml:space="preserve">	</w:t>
      </w:r>
      <w:r>
        <w:t xml:space="preserve">Albury C, Pope C, Shaw S, et al (2021)</w:t>
      </w:r>
      <w:r>
        <w:t xml:space="preserve"> </w:t>
      </w:r>
      <w:hyperlink r:id="rId31">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starting my DPhil</dc:title>
  <dc:creator/>
  <cp:keywords/>
  <dcterms:created xsi:type="dcterms:W3CDTF">2023-12-22T18:00:21Z</dcterms:created>
  <dcterms:modified xsi:type="dcterms:W3CDTF">2023-12-22T18:00:21Z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