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p>
      <w:pPr>
        <w:pStyle w:val="Author"/>
      </w:pPr>
      <w:r>
        <w:t xml:space="preserve">Commit</w:t>
      </w:r>
      <w:r>
        <w:t xml:space="preserve"> </w:t>
      </w:r>
      <w:r>
        <w:t xml:space="preserve">ID:</w:t>
      </w:r>
      <w:r>
        <w:t xml:space="preserve"> </w:t>
      </w:r>
      <w:r>
        <w:t xml:space="preserve">b2b401e</w:t>
      </w:r>
    </w:p>
    <w:p>
      <w:pPr>
        <w:pStyle w:val="Date"/>
      </w:pPr>
      <w:r>
        <w:t xml:space="preserve">2023-07-21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I’ve reworked my thematic synthesis article into a chapter.</w:t>
            </w:r>
          </w:p>
          <w:p>
            <w:pPr>
              <w:pStyle w:val="BodyText"/>
            </w:pPr>
            <w:r>
              <w:t xml:space="preserve">Known todos:</w:t>
            </w:r>
          </w:p>
          <w:p>
            <w:pPr>
              <w:numPr>
                <w:ilvl w:val="0"/>
                <w:numId w:val="1001"/>
              </w:numPr>
              <w:pStyle w:val="Compact"/>
            </w:pPr>
            <w:r>
              <w:t xml:space="preserve">Table 4 needs formatting</w:t>
            </w:r>
          </w:p>
          <w:p>
            <w:pPr>
              <w:numPr>
                <w:ilvl w:val="0"/>
                <w:numId w:val="1001"/>
              </w:numPr>
              <w:pStyle w:val="Compact"/>
            </w:pPr>
            <w:r>
              <w:t xml:space="preserve">Re-add PRISMA flow diagram</w:t>
            </w:r>
          </w:p>
          <w:p>
            <w:pPr>
              <w:numPr>
                <w:ilvl w:val="0"/>
                <w:numId w:val="1001"/>
              </w:numPr>
              <w:pStyle w:val="Compact"/>
            </w:pPr>
            <w:r>
              <w:t xml:space="preserve">End of discussion section needs to be reworked so it links to next chapter.</w:t>
            </w:r>
          </w:p>
          <w:p>
            <w:pPr>
              <w:numPr>
                <w:ilvl w:val="0"/>
                <w:numId w:val="1001"/>
              </w:numPr>
              <w:pStyle w:val="Compact"/>
            </w:pPr>
            <w:r>
              <w:t xml:space="preserve">Appendix will come out and become a thesis appendix</w:t>
            </w:r>
          </w:p>
          <w:p>
            <w:pPr>
              <w:numPr>
                <w:ilvl w:val="0"/>
                <w:numId w:val="1001"/>
              </w:numPr>
              <w:pStyle w:val="Compact"/>
            </w:pPr>
            <w:r>
              <w:t xml:space="preserve">Can move acronyms and definitions into a thesis appendix</w:t>
            </w:r>
          </w:p>
        </w:tc>
      </w:tr>
    </w:tbl>
    <w:bookmarkStart w:id="20" w:name="introduction"/>
    <w:p>
      <w:pPr>
        <w:pStyle w:val="Heading1"/>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1"/>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2"/>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2"/>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2"/>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2"/>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2"/>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2"/>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2" w:name="results"/>
    <w:p>
      <w:pPr>
        <w:pStyle w:val="Heading1"/>
      </w:pPr>
      <w:r>
        <w:t xml:space="preserve">Results</w:t>
      </w:r>
    </w:p>
    <w:bookmarkStart w:id="28" w:name="search"/>
    <w:p>
      <w:pPr>
        <w:pStyle w:val="Heading2"/>
      </w:pPr>
      <w:r>
        <w:t xml:space="preserve">Search</w:t>
      </w:r>
    </w:p>
    <w:p>
      <w:pPr>
        <w:pStyle w:val="FirstParagraph"/>
      </w:pPr>
      <w:r>
        <w:t xml:space="preserve">My search yielded 18 articles (see Figure 1 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28"/>
    <w:bookmarkStart w:id="41" w:name="synthesis-findings"/>
    <w:p>
      <w:pPr>
        <w:pStyle w:val="Heading2"/>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29" w:name="X221dc1d5fca1382f7be62a6734a05e245a0ff3f"/>
    <w:p>
      <w:pPr>
        <w:pStyle w:val="Heading3"/>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29"/>
    <w:bookmarkStart w:id="30" w:name="Xd382a1fd1f9bcc6545c4b039f739145b4d0d78a"/>
    <w:p>
      <w:pPr>
        <w:pStyle w:val="Heading3"/>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0"/>
    <w:bookmarkStart w:id="31" w:name="X24dc5477b107698082954877a6acab99831b5d2"/>
    <w:p>
      <w:pPr>
        <w:pStyle w:val="Heading3"/>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1"/>
    <w:bookmarkStart w:id="32" w:name="X293c9781693881c1a18c8b1e5672f870aadde05"/>
    <w:p>
      <w:pPr>
        <w:pStyle w:val="Heading3"/>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2"/>
    <w:bookmarkStart w:id="33" w:name="Xf420baa74e9b5328abd2dca42e7856876e7f535"/>
    <w:p>
      <w:pPr>
        <w:pStyle w:val="Heading3"/>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3"/>
    <w:bookmarkStart w:id="34" w:name="Xfe35f01a0ed5ab259bda4514ad099c8b6909072"/>
    <w:p>
      <w:pPr>
        <w:pStyle w:val="Heading3"/>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4"/>
    <w:bookmarkStart w:id="35" w:name="X10eab4331bcca3ccd7202ae1f1a64683ca6bbb4"/>
    <w:p>
      <w:pPr>
        <w:pStyle w:val="Heading3"/>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5"/>
    <w:bookmarkStart w:id="36" w:name="Xd57f518598f800d46f54d53b45fb0701dc09106"/>
    <w:p>
      <w:pPr>
        <w:pStyle w:val="Heading3"/>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36"/>
    <w:bookmarkStart w:id="37" w:name="X420dd00a51886d59826eb3f32bf1672c0264fea"/>
    <w:p>
      <w:pPr>
        <w:pStyle w:val="Heading3"/>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37"/>
    <w:bookmarkStart w:id="38" w:name="X0bb8edb1201a0da9c84019b067c3c3b88a1e57e"/>
    <w:p>
      <w:pPr>
        <w:pStyle w:val="Heading3"/>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38"/>
    <w:bookmarkStart w:id="39" w:name="X111256a7498aa46c413f6ba2a9e5b050443bfe5"/>
    <w:p>
      <w:pPr>
        <w:pStyle w:val="Heading3"/>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39"/>
    <w:bookmarkStart w:id="40" w:name="X5eaffeaf669e6a3f5cc3feb1589a00232d103c6"/>
    <w:p>
      <w:pPr>
        <w:pStyle w:val="Heading3"/>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0"/>
    <w:bookmarkEnd w:id="41"/>
    <w:bookmarkEnd w:id="42"/>
    <w:bookmarkStart w:id="46" w:name="discussion"/>
    <w:p>
      <w:pPr>
        <w:pStyle w:val="Heading1"/>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p>
      <w:pPr>
        <w:pStyle w:val="BodyText"/>
      </w:pPr>
      <w:r>
        <w:t xml:space="preserve">Beyond these suggestions I will refrain from proposing solutions to the barriers identified in this review. Improvements to reporting guideline dissemination should be explored thoroughly through consultation with reporting guideline developers, editors, researchers, and other relevant stakeholders. This will be the focus of upcoming work.</w:t>
      </w:r>
    </w:p>
    <w:bookmarkStart w:id="43" w:name="limitations"/>
    <w:p>
      <w:pPr>
        <w:pStyle w:val="Heading2"/>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3"/>
    <w:bookmarkStart w:id="44" w:name="implications-for-future-research"/>
    <w:p>
      <w:pPr>
        <w:pStyle w:val="Heading2"/>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4"/>
    <w:bookmarkStart w:id="45" w:name="conclusions"/>
    <w:p>
      <w:pPr>
        <w:pStyle w:val="Heading2"/>
      </w:pPr>
      <w:r>
        <w:t xml:space="preserve">Conclusions</w:t>
      </w:r>
    </w:p>
    <w:p>
      <w:pPr>
        <w:pStyle w:val="FirstParagraph"/>
      </w:pPr>
      <w:r>
        <w:t xml:space="preserve">Researchers encounter many barriers and facilitators when using reporting guidelines. Future research could use my findings to improve how reporting guidelines are developed, evaluated, and disseminated. Reporting guideline developers should consider using qualitative methods when piloting and refining their resources.</w:t>
      </w:r>
    </w:p>
    <w:bookmarkEnd w:id="45"/>
    <w:bookmarkEnd w:id="46"/>
    <w:bookmarkStart w:id="47" w:name="list-of-abbreviations"/>
    <w:p>
      <w:pPr>
        <w:pStyle w:val="Heading1"/>
      </w:pPr>
      <w:r>
        <w:t xml:space="preserve">List of abbreviations</w:t>
      </w:r>
    </w:p>
    <w:p>
      <w:pPr>
        <w:pStyle w:val="FirstParagraph"/>
      </w:pPr>
      <w:r>
        <w:t xml:space="preserve">See</w:t>
      </w:r>
      <w:r>
        <w:t xml:space="preserve"> </w:t>
      </w:r>
      <w:hyperlink w:anchor="tbl-rgs">
        <w:r>
          <w:rPr>
            <w:rStyle w:val="Hyperlink"/>
          </w:rPr>
          <w:t xml:space="preserve">Table 2</w:t>
        </w:r>
      </w:hyperlink>
      <w:r>
        <w:t xml:space="preserve"> </w:t>
      </w:r>
      <w:r>
        <w:t xml:space="preserve">for definitions of reporting guideline acronyms not listed here.</w:t>
      </w:r>
    </w:p>
    <w:p>
      <w:pPr>
        <w:pStyle w:val="BodyText"/>
      </w:pPr>
      <w:r>
        <w:t xml:space="preserve">CASP: Critical Appraisal Skills Programme</w:t>
      </w:r>
    </w:p>
    <w:p>
      <w:pPr>
        <w:pStyle w:val="BodyText"/>
      </w:pPr>
      <w:r>
        <w:t xml:space="preserve">ENTREQ: Enhancing Transparency in Reporting the Synthesis of Qualitative Research statement</w:t>
      </w:r>
    </w:p>
    <w:p>
      <w:pPr>
        <w:pStyle w:val="BodyText"/>
      </w:pPr>
      <w:r>
        <w:t xml:space="preserve">EQUATOR: Enhancing the QUAlity and Transparency Of health Research</w:t>
      </w:r>
    </w:p>
    <w:p>
      <w:pPr>
        <w:pStyle w:val="BodyText"/>
      </w:pPr>
      <w:r>
        <w:t xml:space="preserve">GIM: Global Index Medicus</w:t>
      </w:r>
    </w:p>
    <w:p>
      <w:pPr>
        <w:pStyle w:val="BodyText"/>
      </w:pPr>
      <w:r>
        <w:t xml:space="preserve">OSF: Open Science Framework</w:t>
      </w:r>
    </w:p>
    <w:p>
      <w:pPr>
        <w:pStyle w:val="BodyText"/>
      </w:pPr>
      <w:r>
        <w:t xml:space="preserve">PRISMA-P: Preferred Reporting Items for Systematic Reviews and Meta-Analyses Protocols</w:t>
      </w:r>
    </w:p>
    <w:p>
      <w:pPr>
        <w:pStyle w:val="BodyText"/>
      </w:pPr>
      <w:r>
        <w:t xml:space="preserve">PRISMA-S: Preferred Reporting Items for Systematic Reviews and Meta-Analyses Searches</w:t>
      </w:r>
    </w:p>
    <w:p>
      <w:pPr>
        <w:pStyle w:val="BodyText"/>
      </w:pPr>
      <w:r>
        <w:t xml:space="preserve">PRISMA Equity: Preferred Reporting Items for Systematic Reviews and Meta-Analyses with a Focus on Health Equity</w:t>
      </w:r>
    </w:p>
    <w:p>
      <w:pPr>
        <w:pStyle w:val="BodyText"/>
      </w:pPr>
      <w:r>
        <w:t xml:space="preserve">SciELO: Scientific Electronic Library</w:t>
      </w:r>
    </w:p>
    <w:bookmarkEnd w:id="47"/>
    <w:bookmarkStart w:id="52" w:name="tables"/>
    <w:p>
      <w:pPr>
        <w:pStyle w:val="Heading1"/>
      </w:pPr>
      <w:r>
        <w:t xml:space="preserve">Tables</w:t>
      </w:r>
    </w:p>
    <w:bookmarkStart w:id="48"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48"/>
    <w:p>
      <w:pPr>
        <w:pStyle w:val="BodyText"/>
      </w:pPr>
      <w:r>
        <w:t xml:space="preserve"> </w:t>
      </w:r>
    </w:p>
    <w:bookmarkStart w:id="49"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49"/>
    <w:p>
      <w:pPr>
        <w:pStyle w:val="BodyText"/>
      </w:pPr>
      <w:r>
        <w:t xml:space="preserve"> </w:t>
      </w:r>
    </w:p>
    <w:bookmarkStart w:id="50" w:name="tbl-study-characteristics"/>
    <w:p>
      <w:pPr>
        <w:pStyle w:val="TableCaption"/>
      </w:pPr>
      <w:r>
        <w:t xml:space="preserve">Table 3: Study characteristics</w:t>
      </w:r>
    </w:p>
    <w:tbl>
      <w:tblPr>
        <w:tblStyle w:val="Table"/>
        <w:tblW w:type="pct" w:w="4988"/>
        <w:tblLook w:firstRow="1" w:lastRow="0" w:firstColumn="0" w:lastColumn="0" w:noHBand="0" w:noVBand="0" w:val="0020"/>
        <w:jc w:val="start"/>
        <w:tblCaption w:val="Table 3: Study characteristics"/>
      </w:tblPr>
      <w:tblGrid>
        <w:gridCol w:w="725"/>
        <w:gridCol w:w="734"/>
        <w:gridCol w:w="2333"/>
        <w:gridCol w:w="706"/>
        <w:gridCol w:w="548"/>
        <w:gridCol w:w="2667"/>
        <w:gridCol w:w="185"/>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r>
              <w:t xml:space="preserve"> </w:t>
            </w:r>
            <w:r>
              <w:t xml:space="preserve">11 authors</w:t>
            </w:r>
          </w:p>
        </w:tc>
        <w:tc>
          <w:tcPr/>
          <w:p>
            <w:pPr>
              <w:pStyle w:val="Compact"/>
              <w:jc w:val="center"/>
            </w:pPr>
            <w:r>
              <w:t xml:space="preserve">UK, USA, Belgium, Br</w:t>
            </w:r>
          </w:p>
        </w:tc>
        <w:tc>
          <w:tcPr/>
          <w:p>
            <w:pPr>
              <w:pStyle w:val="Compact"/>
              <w:jc w:val="center"/>
            </w:pPr>
            <w:r>
              <w:t xml:space="preserve">azil ARRIVE</w:t>
            </w:r>
          </w:p>
        </w:tc>
        <w:tc>
          <w:tcPr/>
          <w:p>
            <w:pPr>
              <w:pStyle w:val="Compact"/>
              <w:jc w:val="center"/>
            </w:pPr>
            <w:r>
              <w:t xml:space="preserve">Interview and writin</w:t>
            </w:r>
          </w:p>
        </w:tc>
        <w:tc>
          <w:tcPr/>
          <w:p>
            <w:pPr>
              <w:pStyle w:val="Compact"/>
              <w:jc w:val="center"/>
            </w:pPr>
            <w:r>
              <w:t xml:space="preserve">g task Authors’ opinions, i</w:t>
            </w:r>
          </w:p>
        </w:tc>
        <w:tc>
          <w:tcPr/>
          <w:p>
            <w:pPr>
              <w:pStyle w:val="Compact"/>
              <w:jc w:val="center"/>
            </w:pPr>
            <w:r>
              <w:t xml:space="preserve">nterpretation, and experiences of updated ARRIVE guidelines Fairly valuable</w:t>
            </w:r>
          </w:p>
        </w:tc>
        <w:tc>
          <w:tcPr/>
          <w:p>
            <w:pPr>
              <w:pStyle w:val="Compact"/>
            </w:pP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0"/>
    <w:bookmarkStart w:id="51" w:name="tbl-codes"/>
    <w:p>
      <w:pPr>
        <w:pStyle w:val="TableCaption"/>
      </w:pPr>
      <w:r>
        <w:t xml:space="preserve">Table 4: Codes, descriptive themes, and analytic themes</w:t>
      </w:r>
    </w:p>
    <w:tbl>
      <w:tblPr>
        <w:tblStyle w:val="Table"/>
        <w:tblW w:type="pct" w:w="4990"/>
        <w:tblLook w:firstRow="1" w:lastRow="0" w:firstColumn="0" w:lastColumn="0" w:noHBand="0" w:noVBand="0" w:val="0020"/>
        <w:jc w:val="start"/>
        <w:tblCaption w:val="Table 4: Codes, descriptive themes, and analytic themes"/>
      </w:tblPr>
      <w:tblGrid>
        <w:gridCol w:w="4339"/>
        <w:gridCol w:w="1379"/>
        <w:gridCol w:w="2185"/>
      </w:tblGrid>
      <w:tr>
        <w:trPr>
          <w:tblHeader w:val="true"/>
        </w:trPr>
        <w:tc>
          <w:tcPr/>
          <w:p>
            <w:pPr>
              <w:pStyle w:val="Compact"/>
            </w:pPr>
          </w:p>
        </w:tc>
        <w:tc>
          <w:tcPr/>
          <w:p>
            <w:pPr>
              <w:pStyle w:val="Compact"/>
            </w:pPr>
          </w:p>
        </w:tc>
        <w:tc>
          <w:tcPr/>
          <w:p>
            <w:pPr>
              <w:pStyle w:val="Compact"/>
              <w:jc w:val="left"/>
            </w:pPr>
            <w:r>
              <w:t xml:space="preserve">Analytic theme</w:t>
            </w:r>
          </w:p>
        </w:tc>
      </w:tr>
      <w:tr>
        <w:tc>
          <w:tcPr>
            <w:gridSpan w:val="3"/>
          </w:tcPr>
          <w:p>
            <w:pPr>
              <w:pStyle w:val="Compact"/>
              <w:jc w:val="left"/>
            </w:pPr>
            <w:r>
              <w:t xml:space="preserve">What does this term mean?</w:t>
            </w:r>
            <w:r>
              <w:t xml:space="preserve"> </w:t>
            </w:r>
            <w:r>
              <w:t xml:space="preserve">[11, 13–15, 18]</w:t>
            </w:r>
            <w:r>
              <w:t xml:space="preserve"> </w:t>
            </w:r>
            <w:r>
              <w:t xml:space="preserve">| What does this mean? | Researchers may not understand the guidance as intended, or what reporting guidelines are, even if they think they do |</w:t>
            </w:r>
            <w:r>
              <w:t xml:space="preserve"> </w:t>
            </w:r>
            <w:r>
              <w:t xml:space="preserve">| |</w:t>
            </w:r>
            <w:r>
              <w:t xml:space="preserve"> </w:t>
            </w:r>
            <w:r>
              <w:t xml:space="preserve">What does this item mean?</w:t>
            </w:r>
            <w:r>
              <w:t xml:space="preserve"> </w:t>
            </w:r>
            <w:r>
              <w:t xml:space="preserve">[11, 13–15, 17, 18]</w:t>
            </w:r>
            <w:r>
              <w:t xml:space="preserve"> </w:t>
            </w:r>
            <w:r>
              <w:t xml:space="preserve">| Why is this item important? | |</w:t>
            </w:r>
            <w:r>
              <w:t xml:space="preserve"> </w:t>
            </w:r>
            <w:r>
              <w:t xml:space="preserve">| |</w:t>
            </w:r>
            <w:r>
              <w:t xml:space="preserve"> </w:t>
            </w:r>
            <w:r>
              <w:t xml:space="preserve">How are these items different?</w:t>
            </w:r>
            <w:r>
              <w:t xml:space="preserve">[11, 14, 17, 22]</w:t>
            </w:r>
            <w:r>
              <w:t xml:space="preserve"> </w:t>
            </w:r>
            <w:r>
              <w:t xml:space="preserve">| Does this apply to me? | |</w:t>
            </w:r>
            <w:r>
              <w:t xml:space="preserve"> </w:t>
            </w:r>
            <w:r>
              <w:t xml:space="preserve">| |</w:t>
            </w:r>
            <w:r>
              <w:t xml:space="preserve"> </w:t>
            </w:r>
            <w:r>
              <w:t xml:space="preserve">Have I understood this as intended?</w:t>
            </w:r>
            <w:r>
              <w:t xml:space="preserve"> </w:t>
            </w:r>
            <w:r>
              <w:t xml:space="preserve">[11, 15]</w:t>
            </w:r>
            <w:r>
              <w:t xml:space="preserve"> </w:t>
            </w:r>
            <w:r>
              <w:t xml:space="preserve">| I don’t understand what reporting guidelines are | |</w:t>
            </w:r>
            <w:r>
              <w:t xml:space="preserve"> </w:t>
            </w:r>
            <w:r>
              <w:t xml:space="preserve">| |</w:t>
            </w:r>
            <w:r>
              <w:t xml:space="preserve"> </w:t>
            </w:r>
            <w:r>
              <w:t xml:space="preserve">Examples help me understand items</w:t>
            </w:r>
            <w:r>
              <w:t xml:space="preserve"> </w:t>
            </w:r>
            <w:r>
              <w:t xml:space="preserve">[14, 16, 40]</w:t>
            </w:r>
            <w:r>
              <w:t xml:space="preserve"> </w:t>
            </w:r>
            <w:r>
              <w:t xml:space="preserve">| | |</w:t>
            </w:r>
            <w:r>
              <w:t xml:space="preserve"> </w:t>
            </w:r>
            <w:r>
              <w:t xml:space="preserve">| |</w:t>
            </w:r>
            <w:r>
              <w:t xml:space="preserve"> </w:t>
            </w:r>
            <w:r>
              <w:t xml:space="preserve">Why is this item important?</w:t>
            </w:r>
            <w:r>
              <w:t xml:space="preserve"> </w:t>
            </w:r>
            <w:r>
              <w:t xml:space="preserve">[11, 13, 14, 24]</w:t>
            </w:r>
            <w:r>
              <w:t xml:space="preserve"> </w:t>
            </w:r>
            <w:r>
              <w:t xml:space="preserve">| | |</w:t>
            </w:r>
            <w:r>
              <w:t xml:space="preserve"> </w:t>
            </w:r>
            <w:r>
              <w:t xml:space="preserve">| |</w:t>
            </w:r>
            <w:r>
              <w:t xml:space="preserve"> </w:t>
            </w:r>
            <w:r>
              <w:t xml:space="preserve">Who is this item important to?</w:t>
            </w:r>
            <w:r>
              <w:t xml:space="preserve"> </w:t>
            </w:r>
            <w:r>
              <w:t xml:space="preserve">[10, 11, 14]</w:t>
            </w:r>
            <w:r>
              <w:t xml:space="preserve"> </w:t>
            </w:r>
            <w:r>
              <w:t xml:space="preserve">| | |</w:t>
            </w:r>
            <w:r>
              <w:t xml:space="preserve"> </w:t>
            </w:r>
            <w:r>
              <w:t xml:space="preserve">| |</w:t>
            </w:r>
            <w:r>
              <w:t xml:space="preserve"> </w:t>
            </w:r>
            <w:r>
              <w:t xml:space="preserve">Have I understood the guideline’s scope as intended?</w:t>
            </w:r>
            <w:r>
              <w:t xml:space="preserve"> </w:t>
            </w:r>
            <w:r>
              <w:t xml:space="preserve">[14, 18]</w:t>
            </w:r>
            <w:r>
              <w:t xml:space="preserve"> </w:t>
            </w:r>
            <w:r>
              <w:t xml:space="preserve">| | |</w:t>
            </w:r>
            <w:r>
              <w:t xml:space="preserve"> </w:t>
            </w:r>
            <w:r>
              <w:t xml:space="preserve">| |</w:t>
            </w:r>
            <w:r>
              <w:t xml:space="preserve"> </w:t>
            </w:r>
            <w:r>
              <w:t xml:space="preserve">Does this item apply to me?</w:t>
            </w:r>
            <w:r>
              <w:t xml:space="preserve"> </w:t>
            </w:r>
            <w:r>
              <w:t xml:space="preserve">[11, 14, 17, 18, 22]</w:t>
            </w:r>
            <w:r>
              <w:t xml:space="preserve"> </w:t>
            </w:r>
            <w:r>
              <w:t xml:space="preserve">| | |</w:t>
            </w:r>
            <w:r>
              <w:t xml:space="preserve"> </w:t>
            </w:r>
            <w:r>
              <w:t xml:space="preserve">| |</w:t>
            </w:r>
            <w:r>
              <w:t xml:space="preserve"> </w:t>
            </w:r>
            <w:r>
              <w:t xml:space="preserve">Is this item optional?</w:t>
            </w:r>
            <w:r>
              <w:t xml:space="preserve"> </w:t>
            </w:r>
            <w:r>
              <w:t xml:space="preserve">[11, 17]</w:t>
            </w:r>
            <w:r>
              <w:t xml:space="preserve"> </w:t>
            </w:r>
            <w:r>
              <w:t xml:space="preserve">| | |</w:t>
            </w:r>
            <w:r>
              <w:t xml:space="preserve"> </w:t>
            </w:r>
            <w:r>
              <w:t xml:space="preserve">| |</w:t>
            </w:r>
            <w:r>
              <w:t xml:space="preserve"> </w:t>
            </w:r>
            <w:r>
              <w:t xml:space="preserve">What are reporting guidelines?</w:t>
            </w:r>
            <w:r>
              <w:t xml:space="preserve"> </w:t>
            </w:r>
            <w:r>
              <w:t xml:space="preserve">[10, 20]</w:t>
            </w:r>
            <w:r>
              <w:t xml:space="preserve"> </w:t>
            </w:r>
            <w:r>
              <w:t xml:space="preserve">| | |</w:t>
            </w:r>
            <w:r>
              <w:t xml:space="preserve"> </w:t>
            </w:r>
            <w:r>
              <w:t xml:space="preserve">| |</w:t>
            </w:r>
            <w:r>
              <w:t xml:space="preserve"> </w:t>
            </w:r>
            <w:r>
              <w:t xml:space="preserve">How should I use a reporting guideline?</w:t>
            </w:r>
            <w:r>
              <w:t xml:space="preserve"> </w:t>
            </w:r>
            <w:r>
              <w:t xml:space="preserve">[12]</w:t>
            </w:r>
            <w:r>
              <w:t xml:space="preserve"> </w:t>
            </w:r>
            <w:r>
              <w:t xml:space="preserve">| | |</w:t>
            </w:r>
          </w:p>
        </w:tc>
      </w:tr>
      <w:tr>
        <w:tc>
          <w:tcPr>
            <w:gridSpan w:val="3"/>
          </w:tcPr>
          <w:p>
            <w:pPr>
              <w:pStyle w:val="Compact"/>
              <w:jc w:val="left"/>
            </w:pPr>
            <w:r>
              <w:t xml:space="preserve">I find guidelines useful in general</w:t>
            </w:r>
            <w:r>
              <w:t xml:space="preserve"> </w:t>
            </w:r>
            <w:r>
              <w:t xml:space="preserve">[8, 18]</w:t>
            </w:r>
            <w:r>
              <w:t xml:space="preserve"> </w:t>
            </w:r>
            <w:r>
              <w:t xml:space="preserve">| Guidelines benefit me | Researchers report a variety of reasons for using reporting guidelines, and that some are more important than others |</w:t>
            </w:r>
            <w:r>
              <w:t xml:space="preserve"> </w:t>
            </w:r>
            <w:r>
              <w:t xml:space="preserve">| |</w:t>
            </w:r>
            <w:r>
              <w:t xml:space="preserve"> </w:t>
            </w:r>
            <w:r>
              <w:t xml:space="preserve">Guidelines make me feel confident</w:t>
            </w:r>
            <w:r>
              <w:t xml:space="preserve"> </w:t>
            </w:r>
            <w:r>
              <w:t xml:space="preserve">[10]</w:t>
            </w:r>
            <w:r>
              <w:t xml:space="preserve"> </w:t>
            </w:r>
            <w:r>
              <w:t xml:space="preserve">| I use guidelines because of other people | |</w:t>
            </w:r>
            <w:r>
              <w:t xml:space="preserve"> </w:t>
            </w:r>
            <w:r>
              <w:t xml:space="preserve">| |</w:t>
            </w:r>
            <w:r>
              <w:t xml:space="preserve"> </w:t>
            </w:r>
            <w:r>
              <w:t xml:space="preserve">Guidelines help me develop as a researcher</w:t>
            </w:r>
            <w:r>
              <w:t xml:space="preserve"> </w:t>
            </w:r>
            <w:r>
              <w:t xml:space="preserve">[10, 21]</w:t>
            </w:r>
            <w:r>
              <w:t xml:space="preserve"> </w:t>
            </w:r>
            <w:r>
              <w:t xml:space="preserve">| Guidelines benefit others | |</w:t>
            </w:r>
            <w:r>
              <w:t xml:space="preserve"> </w:t>
            </w:r>
            <w:r>
              <w:t xml:space="preserve">| |</w:t>
            </w:r>
            <w:r>
              <w:t xml:space="preserve"> </w:t>
            </w:r>
            <w:r>
              <w:t xml:space="preserve">Guidelines may help me improve my manuscript</w:t>
            </w:r>
            <w:r>
              <w:t xml:space="preserve"> </w:t>
            </w:r>
            <w:r>
              <w:t xml:space="preserve">[8, 10, 11, 21, 22]</w:t>
            </w:r>
            <w:r>
              <w:t xml:space="preserve"> </w:t>
            </w:r>
            <w:r>
              <w:t xml:space="preserve">| Some benefits are more important than others | |</w:t>
            </w:r>
            <w:r>
              <w:t xml:space="preserve"> </w:t>
            </w:r>
            <w:r>
              <w:t xml:space="preserve">| |</w:t>
            </w:r>
            <w:r>
              <w:t xml:space="preserve"> </w:t>
            </w:r>
            <w:r>
              <w:t xml:space="preserve">I believe guidelines may help me publish more easily</w:t>
            </w:r>
            <w:r>
              <w:t xml:space="preserve"> </w:t>
            </w:r>
            <w:r>
              <w:t xml:space="preserve">[23]</w:t>
            </w:r>
            <w:r>
              <w:t xml:space="preserve"> </w:t>
            </w:r>
            <w:r>
              <w:t xml:space="preserve">| | |</w:t>
            </w:r>
            <w:r>
              <w:t xml:space="preserve"> </w:t>
            </w:r>
            <w:r>
              <w:t xml:space="preserve">| |</w:t>
            </w:r>
            <w:r>
              <w:t xml:space="preserve"> </w:t>
            </w:r>
            <w:r>
              <w:t xml:space="preserve">I may use guidelines because journals and editors tell me to</w:t>
            </w:r>
            <w:r>
              <w:t xml:space="preserve"> </w:t>
            </w:r>
            <w:r>
              <w:t xml:space="preserve">[10, 12, 21, 23]</w:t>
            </w:r>
            <w:r>
              <w:t xml:space="preserve"> </w:t>
            </w:r>
            <w:r>
              <w:t xml:space="preserve">| | |</w:t>
            </w:r>
            <w:r>
              <w:t xml:space="preserve"> </w:t>
            </w:r>
            <w:r>
              <w:t xml:space="preserve">| |</w:t>
            </w:r>
            <w:r>
              <w:t xml:space="preserve"> </w:t>
            </w:r>
            <w:r>
              <w:t xml:space="preserve">I may use guidelines because other researchers expect it</w:t>
            </w:r>
            <w:r>
              <w:t xml:space="preserve"> </w:t>
            </w:r>
            <w:r>
              <w:t xml:space="preserve">[12, 23]</w:t>
            </w:r>
            <w:r>
              <w:t xml:space="preserve"> </w:t>
            </w:r>
            <w:r>
              <w:t xml:space="preserve">| | |</w:t>
            </w:r>
            <w:r>
              <w:t xml:space="preserve"> </w:t>
            </w:r>
            <w:r>
              <w:t xml:space="preserve">| |</w:t>
            </w:r>
            <w:r>
              <w:t xml:space="preserve"> </w:t>
            </w:r>
            <w:r>
              <w:t xml:space="preserve">Standardized reporting benefits the community</w:t>
            </w:r>
            <w:r>
              <w:t xml:space="preserve"> </w:t>
            </w:r>
            <w:r>
              <w:t xml:space="preserve">[10, 23, 42]</w:t>
            </w:r>
            <w:r>
              <w:t xml:space="preserve"> </w:t>
            </w:r>
            <w:r>
              <w:t xml:space="preserve">| | |</w:t>
            </w:r>
            <w:r>
              <w:t xml:space="preserve"> </w:t>
            </w:r>
            <w:r>
              <w:t xml:space="preserve">| |</w:t>
            </w:r>
            <w:r>
              <w:t xml:space="preserve"> </w:t>
            </w:r>
            <w:r>
              <w:t xml:space="preserve">Immediate benefits are more important than hypothetical ones</w:t>
            </w:r>
            <w:r>
              <w:t xml:space="preserve"> </w:t>
            </w:r>
            <w:r>
              <w:t xml:space="preserve">[10, 23]</w:t>
            </w:r>
            <w:r>
              <w:t xml:space="preserve"> </w:t>
            </w:r>
            <w:r>
              <w:t xml:space="preserve">| | |</w:t>
            </w:r>
            <w:r>
              <w:t xml:space="preserve"> </w:t>
            </w:r>
            <w:r>
              <w:t xml:space="preserve">| |</w:t>
            </w:r>
            <w:r>
              <w:t xml:space="preserve"> </w:t>
            </w:r>
            <w:r>
              <w:t xml:space="preserve">Personal benefits are more important than benefits to others</w:t>
            </w:r>
            <w:r>
              <w:t xml:space="preserve"> </w:t>
            </w:r>
            <w:r>
              <w:t xml:space="preserve">[23]</w:t>
            </w:r>
            <w:r>
              <w:t xml:space="preserve"> </w:t>
            </w:r>
            <w:r>
              <w:t xml:space="preserve">| | |</w:t>
            </w:r>
          </w:p>
        </w:tc>
      </w:tr>
      <w:tr>
        <w:tc>
          <w:tcPr>
            <w:gridSpan w:val="3"/>
          </w:tcPr>
          <w:p>
            <w:pPr>
              <w:pStyle w:val="Compact"/>
              <w:jc w:val="left"/>
            </w:pPr>
            <w:r>
              <w:t xml:space="preserve">I use reporting guidelines for planning research</w:t>
            </w:r>
            <w:r>
              <w:t xml:space="preserve"> </w:t>
            </w:r>
            <w:r>
              <w:t xml:space="preserve">[10, 11]</w:t>
            </w:r>
            <w:r>
              <w:t xml:space="preserve"> </w:t>
            </w:r>
            <w:r>
              <w:t xml:space="preserve">| Researchers use reporting guidelines for different tasks | Researchers report using reporting guidelines for different tasks and wanting guidance to be delivered in ways that better fit their needs |</w:t>
            </w:r>
            <w:r>
              <w:t xml:space="preserve"> </w:t>
            </w:r>
            <w:r>
              <w:t xml:space="preserve">| |</w:t>
            </w:r>
            <w:r>
              <w:t xml:space="preserve"> </w:t>
            </w:r>
            <w:r>
              <w:t xml:space="preserve">I use reporting guidelines for designing research</w:t>
            </w:r>
            <w:r>
              <w:t xml:space="preserve"> </w:t>
            </w:r>
            <w:r>
              <w:t xml:space="preserve">[8, 10, 17, 20]</w:t>
            </w:r>
            <w:r>
              <w:t xml:space="preserve"> </w:t>
            </w:r>
            <w:r>
              <w:t xml:space="preserve">| I want guidance presented in formats that are better suited to the task I am doing | |</w:t>
            </w:r>
            <w:r>
              <w:t xml:space="preserve"> </w:t>
            </w:r>
            <w:r>
              <w:t xml:space="preserve">| |</w:t>
            </w:r>
            <w:r>
              <w:t xml:space="preserve"> </w:t>
            </w:r>
            <w:r>
              <w:t xml:space="preserve">I use reporting guidelines for writing</w:t>
            </w:r>
            <w:r>
              <w:t xml:space="preserve"> </w:t>
            </w:r>
            <w:r>
              <w:t xml:space="preserve">[8, 10, 11, 17]</w:t>
            </w:r>
            <w:r>
              <w:t xml:space="preserve"> </w:t>
            </w:r>
            <w:r>
              <w:t xml:space="preserve">| | |</w:t>
            </w:r>
            <w:r>
              <w:t xml:space="preserve"> </w:t>
            </w:r>
            <w:r>
              <w:t xml:space="preserve">| |</w:t>
            </w:r>
            <w:r>
              <w:t xml:space="preserve"> </w:t>
            </w:r>
            <w:r>
              <w:t xml:space="preserve">I use reporting guidelines for checking my own or other people’s writing</w:t>
            </w:r>
            <w:r>
              <w:t xml:space="preserve"> </w:t>
            </w:r>
            <w:r>
              <w:t xml:space="preserve">[10, 20]</w:t>
            </w:r>
            <w:r>
              <w:t xml:space="preserve"> </w:t>
            </w:r>
            <w:r>
              <w:t xml:space="preserve">| | |</w:t>
            </w:r>
            <w:r>
              <w:t xml:space="preserve"> </w:t>
            </w:r>
            <w:r>
              <w:t xml:space="preserve">| |</w:t>
            </w:r>
            <w:r>
              <w:t xml:space="preserve"> </w:t>
            </w:r>
            <w:r>
              <w:t xml:space="preserve">I use reporting guidelines to appraise the quality of other people’s reporting</w:t>
            </w:r>
            <w:r>
              <w:t xml:space="preserve"> </w:t>
            </w:r>
            <w:r>
              <w:t xml:space="preserve">[13]</w:t>
            </w:r>
            <w:r>
              <w:t xml:space="preserve"> </w:t>
            </w:r>
            <w:r>
              <w:t xml:space="preserve">| | |</w:t>
            </w:r>
            <w:r>
              <w:t xml:space="preserve"> </w:t>
            </w:r>
            <w:r>
              <w:t xml:space="preserve">| |</w:t>
            </w:r>
            <w:r>
              <w:t xml:space="preserve"> </w:t>
            </w:r>
            <w:r>
              <w:t xml:space="preserve">I use reporting guidelines for peer reviewing</w:t>
            </w:r>
            <w:r>
              <w:t xml:space="preserve"> </w:t>
            </w:r>
            <w:r>
              <w:t xml:space="preserve">[10]</w:t>
            </w:r>
            <w:r>
              <w:t xml:space="preserve"> </w:t>
            </w:r>
            <w:r>
              <w:t xml:space="preserve">| | |</w:t>
            </w:r>
            <w:r>
              <w:t xml:space="preserve"> </w:t>
            </w:r>
            <w:r>
              <w:t xml:space="preserve">| |</w:t>
            </w:r>
            <w:r>
              <w:t xml:space="preserve"> </w:t>
            </w:r>
            <w:r>
              <w:t xml:space="preserve">I want items presented in the order in which I must do them [;</w:t>
            </w:r>
            <w:r>
              <w:t xml:space="preserve"> </w:t>
            </w:r>
            <w:r>
              <w:t xml:space="preserve">[42]</w:t>
            </w:r>
            <w:r>
              <w:t xml:space="preserve">;</w:t>
            </w:r>
            <w:r>
              <w:t xml:space="preserve"> </w:t>
            </w:r>
            <w:r>
              <w:t xml:space="preserve">[40]</w:t>
            </w:r>
            <w:r>
              <w:t xml:space="preserve">] | | |</w:t>
            </w:r>
            <w:r>
              <w:t xml:space="preserve"> </w:t>
            </w:r>
            <w:r>
              <w:t xml:space="preserve">| |</w:t>
            </w:r>
            <w:r>
              <w:t xml:space="preserve"> </w:t>
            </w:r>
            <w:r>
              <w:t xml:space="preserve">I want design or methods advice</w:t>
            </w:r>
            <w:r>
              <w:t xml:space="preserve"> </w:t>
            </w:r>
            <w:r>
              <w:t xml:space="preserve">[10, 11, 14]</w:t>
            </w:r>
            <w:r>
              <w:t xml:space="preserve"> </w:t>
            </w:r>
            <w:r>
              <w:t xml:space="preserve">| | |</w:t>
            </w:r>
            <w:r>
              <w:t xml:space="preserve"> </w:t>
            </w:r>
            <w:r>
              <w:t xml:space="preserve">| |</w:t>
            </w:r>
            <w:r>
              <w:t xml:space="preserve"> </w:t>
            </w:r>
            <w:r>
              <w:t xml:space="preserve">I want templates for writing</w:t>
            </w:r>
            <w:r>
              <w:t xml:space="preserve"> </w:t>
            </w:r>
            <w:r>
              <w:t xml:space="preserve">[8]</w:t>
            </w:r>
            <w:r>
              <w:t xml:space="preserve"> </w:t>
            </w:r>
            <w:r>
              <w:t xml:space="preserve">| | |</w:t>
            </w:r>
            <w:r>
              <w:t xml:space="preserve"> </w:t>
            </w:r>
            <w:r>
              <w:t xml:space="preserve">| |</w:t>
            </w:r>
            <w:r>
              <w:t xml:space="preserve"> </w:t>
            </w:r>
            <w:r>
              <w:t xml:space="preserve">I want checklists that are easy to fill in</w:t>
            </w:r>
            <w:r>
              <w:t xml:space="preserve"> </w:t>
            </w:r>
            <w:r>
              <w:t xml:space="preserve">[9, 18]</w:t>
            </w:r>
            <w:r>
              <w:t xml:space="preserve"> </w:t>
            </w:r>
            <w:r>
              <w:t xml:space="preserve">| | |</w:t>
            </w:r>
            <w:r>
              <w:t xml:space="preserve"> </w:t>
            </w:r>
            <w:r>
              <w:t xml:space="preserve">| |</w:t>
            </w:r>
            <w:r>
              <w:t xml:space="preserve"> </w:t>
            </w:r>
            <w:r>
              <w:t xml:space="preserve">I want checklists embedded into journal submission workflows</w:t>
            </w:r>
            <w:r>
              <w:t xml:space="preserve"> </w:t>
            </w:r>
            <w:r>
              <w:t xml:space="preserve">[8]</w:t>
            </w:r>
            <w:r>
              <w:t xml:space="preserve"> </w:t>
            </w:r>
            <w:r>
              <w:t xml:space="preserve">| | |</w:t>
            </w:r>
            <w:r>
              <w:t xml:space="preserve"> </w:t>
            </w:r>
            <w:r>
              <w:t xml:space="preserve">| |</w:t>
            </w:r>
            <w:r>
              <w:t xml:space="preserve"> </w:t>
            </w:r>
            <w:r>
              <w:t xml:space="preserve">I want items embedded into data collection tools</w:t>
            </w:r>
            <w:r>
              <w:t xml:space="preserve"> </w:t>
            </w:r>
            <w:r>
              <w:t xml:space="preserve">[21]</w:t>
            </w:r>
            <w:r>
              <w:t xml:space="preserve"> </w:t>
            </w:r>
            <w:r>
              <w:t xml:space="preserve">| | |</w:t>
            </w:r>
          </w:p>
        </w:tc>
      </w:tr>
      <w:tr>
        <w:tc>
          <w:tcPr>
            <w:gridSpan w:val="3"/>
          </w:tcPr>
          <w:p>
            <w:pPr>
              <w:pStyle w:val="Compact"/>
              <w:jc w:val="left"/>
            </w:pPr>
            <w:r>
              <w:t xml:space="preserve">Guidelines take time to read, understand and apply</w:t>
            </w:r>
            <w:r>
              <w:t xml:space="preserve"> </w:t>
            </w:r>
            <w:r>
              <w:t xml:space="preserve">[12, 21, 23]</w:t>
            </w:r>
            <w:r>
              <w:t xml:space="preserve"> </w:t>
            </w:r>
            <w:r>
              <w:t xml:space="preserve">| Guidelines take time | Using reporting guidelines has costs, and researchers may not feel that benefits outweigh the costs |</w:t>
            </w:r>
            <w:r>
              <w:t xml:space="preserve"> </w:t>
            </w:r>
            <w:r>
              <w:t xml:space="preserve">| |</w:t>
            </w:r>
            <w:r>
              <w:t xml:space="preserve"> </w:t>
            </w:r>
            <w:r>
              <w:t xml:space="preserve">Some items require extra work which takes time and effort</w:t>
            </w:r>
            <w:r>
              <w:t xml:space="preserve"> </w:t>
            </w:r>
            <w:r>
              <w:t xml:space="preserve">[11, 15, 41]</w:t>
            </w:r>
            <w:r>
              <w:t xml:space="preserve"> </w:t>
            </w:r>
            <w:r>
              <w:t xml:space="preserve">| Itemization may decrease costs | |</w:t>
            </w:r>
            <w:r>
              <w:t xml:space="preserve"> </w:t>
            </w:r>
            <w:r>
              <w:t xml:space="preserve">| |</w:t>
            </w:r>
            <w:r>
              <w:t xml:space="preserve"> </w:t>
            </w:r>
            <w:r>
              <w:t xml:space="preserve">I want an indication of which items to prioritize</w:t>
            </w:r>
            <w:r>
              <w:t xml:space="preserve"> </w:t>
            </w:r>
            <w:r>
              <w:t xml:space="preserve">[11, 17]</w:t>
            </w:r>
            <w:r>
              <w:t xml:space="preserve"> </w:t>
            </w:r>
            <w:r>
              <w:t xml:space="preserve">| Itemization may increase perceived costs | |</w:t>
            </w:r>
            <w:r>
              <w:t xml:space="preserve"> </w:t>
            </w:r>
            <w:r>
              <w:t xml:space="preserve">| |</w:t>
            </w:r>
            <w:r>
              <w:t xml:space="preserve"> </w:t>
            </w:r>
            <w:r>
              <w:t xml:space="preserve">Perceived complexity</w:t>
            </w:r>
            <w:r>
              <w:t xml:space="preserve"> </w:t>
            </w:r>
            <w:r>
              <w:t xml:space="preserve">[8, 9, 11, 23]</w:t>
            </w:r>
            <w:r>
              <w:t xml:space="preserve"> </w:t>
            </w:r>
            <w:r>
              <w:t xml:space="preserve">| I think guidelines make my manuscripts long and bloated | |</w:t>
            </w:r>
            <w:r>
              <w:t xml:space="preserve"> </w:t>
            </w:r>
            <w:r>
              <w:t xml:space="preserve">| |</w:t>
            </w:r>
            <w:r>
              <w:t xml:space="preserve"> </w:t>
            </w:r>
            <w:r>
              <w:t xml:space="preserve">Long guidelines are off-putting</w:t>
            </w:r>
            <w:r>
              <w:t xml:space="preserve"> </w:t>
            </w:r>
            <w:r>
              <w:t xml:space="preserve">[10, 18, 21, 22]</w:t>
            </w:r>
            <w:r>
              <w:t xml:space="preserve"> </w:t>
            </w:r>
            <w:r>
              <w:t xml:space="preserve">| The benefits of using a reporting guideline may not outweigh the costs | |</w:t>
            </w:r>
            <w:r>
              <w:t xml:space="preserve"> </w:t>
            </w:r>
            <w:r>
              <w:t xml:space="preserve">| |</w:t>
            </w:r>
            <w:r>
              <w:t xml:space="preserve"> </w:t>
            </w:r>
            <w:r>
              <w:t xml:space="preserve">Itemization helps me navigate guidance</w:t>
            </w:r>
            <w:r>
              <w:t xml:space="preserve">[14]</w:t>
            </w:r>
            <w:r>
              <w:t xml:space="preserve"> </w:t>
            </w:r>
            <w:r>
              <w:t xml:space="preserve">| The balance of benefits vs costs may be more favourable when guidelines are used early | |</w:t>
            </w:r>
            <w:r>
              <w:t xml:space="preserve"> </w:t>
            </w:r>
            <w:r>
              <w:t xml:space="preserve">| |</w:t>
            </w:r>
            <w:r>
              <w:t xml:space="preserve"> </w:t>
            </w:r>
            <w:r>
              <w:t xml:space="preserve">Itemization summarizes the guidance</w:t>
            </w:r>
            <w:r>
              <w:t xml:space="preserve">[8]</w:t>
            </w:r>
            <w:r>
              <w:t xml:space="preserve"> </w:t>
            </w:r>
            <w:r>
              <w:t xml:space="preserve">| | |</w:t>
            </w:r>
            <w:r>
              <w:t xml:space="preserve"> </w:t>
            </w:r>
            <w:r>
              <w:t xml:space="preserve">| |</w:t>
            </w:r>
            <w:r>
              <w:t xml:space="preserve"> </w:t>
            </w:r>
            <w:r>
              <w:t xml:space="preserve">Itemization makes guidance appear longer</w:t>
            </w:r>
            <w:r>
              <w:t xml:space="preserve">[14]</w:t>
            </w:r>
            <w:r>
              <w:t xml:space="preserve"> </w:t>
            </w:r>
            <w:r>
              <w:t xml:space="preserve">| | |</w:t>
            </w:r>
            <w:r>
              <w:t xml:space="preserve"> </w:t>
            </w:r>
            <w:r>
              <w:t xml:space="preserve">| |</w:t>
            </w:r>
            <w:r>
              <w:t xml:space="preserve"> </w:t>
            </w:r>
            <w:r>
              <w:t xml:space="preserve">Itemization blocks the bigger picture</w:t>
            </w:r>
            <w:r>
              <w:t xml:space="preserve">[11]</w:t>
            </w:r>
            <w:r>
              <w:t xml:space="preserve"> </w:t>
            </w:r>
            <w:r>
              <w:t xml:space="preserve">| | |</w:t>
            </w:r>
            <w:r>
              <w:t xml:space="preserve"> </w:t>
            </w:r>
            <w:r>
              <w:t xml:space="preserve">| |</w:t>
            </w:r>
            <w:r>
              <w:t xml:space="preserve"> </w:t>
            </w:r>
            <w:r>
              <w:t xml:space="preserve">Following reporting guidance can result in long, bloated articles</w:t>
            </w:r>
            <w:r>
              <w:t xml:space="preserve"> </w:t>
            </w:r>
            <w:r>
              <w:t xml:space="preserve">[11, 17, 21, 22]</w:t>
            </w:r>
            <w:r>
              <w:t xml:space="preserve"> </w:t>
            </w:r>
            <w:r>
              <w:t xml:space="preserve">| | |</w:t>
            </w:r>
            <w:r>
              <w:t xml:space="preserve"> </w:t>
            </w:r>
            <w:r>
              <w:t xml:space="preserve">| |</w:t>
            </w:r>
            <w:r>
              <w:t xml:space="preserve"> </w:t>
            </w:r>
            <w:r>
              <w:t xml:space="preserve">Long, bloated articles may exceed journal word limits</w:t>
            </w:r>
            <w:r>
              <w:t xml:space="preserve"> </w:t>
            </w:r>
            <w:r>
              <w:t xml:space="preserve">[9, 12, 17, 22]</w:t>
            </w:r>
            <w:r>
              <w:t xml:space="preserve"> </w:t>
            </w:r>
            <w:r>
              <w:t xml:space="preserve">| | |</w:t>
            </w:r>
            <w:r>
              <w:t xml:space="preserve"> </w:t>
            </w:r>
            <w:r>
              <w:t xml:space="preserve">| |</w:t>
            </w:r>
            <w:r>
              <w:t xml:space="preserve"> </w:t>
            </w:r>
            <w:r>
              <w:t xml:space="preserve">I want options for where to report this item</w:t>
            </w:r>
            <w:r>
              <w:t xml:space="preserve"> </w:t>
            </w:r>
            <w:r>
              <w:t xml:space="preserve">[10–12, 14, 15, 22]</w:t>
            </w:r>
            <w:r>
              <w:t xml:space="preserve"> </w:t>
            </w:r>
            <w:r>
              <w:t xml:space="preserve">| | |</w:t>
            </w:r>
            <w:r>
              <w:t xml:space="preserve"> </w:t>
            </w:r>
            <w:r>
              <w:t xml:space="preserve">| |</w:t>
            </w:r>
            <w:r>
              <w:t xml:space="preserve"> </w:t>
            </w:r>
            <w:r>
              <w:t xml:space="preserve">The benefits of using a reporting guideline may not outweigh the costs</w:t>
            </w:r>
            <w:r>
              <w:t xml:space="preserve"> </w:t>
            </w:r>
            <w:r>
              <w:t xml:space="preserve">[10, 12, 22]</w:t>
            </w:r>
            <w:r>
              <w:t xml:space="preserve"> </w:t>
            </w:r>
            <w:r>
              <w:t xml:space="preserve">| | |</w:t>
            </w:r>
            <w:r>
              <w:t xml:space="preserve"> </w:t>
            </w:r>
            <w:r>
              <w:t xml:space="preserve">| |</w:t>
            </w:r>
            <w:r>
              <w:t xml:space="preserve"> </w:t>
            </w:r>
            <w:r>
              <w:t xml:space="preserve">Guidelines are more valuable when used early</w:t>
            </w:r>
            <w:r>
              <w:t xml:space="preserve"> </w:t>
            </w:r>
            <w:r>
              <w:t xml:space="preserve">[8, 10, 11, 18]</w:t>
            </w:r>
            <w:r>
              <w:t xml:space="preserve"> </w:t>
            </w:r>
            <w:r>
              <w:t xml:space="preserve">| | |</w:t>
            </w:r>
          </w:p>
        </w:tc>
      </w:tr>
      <w:tr>
        <w:tc>
          <w:tcPr>
            <w:gridSpan w:val="3"/>
          </w:tcPr>
          <w:p>
            <w:pPr>
              <w:pStyle w:val="Compact"/>
              <w:jc w:val="left"/>
            </w:pPr>
            <w:r>
              <w:t xml:space="preserve">I would clarify this item</w:t>
            </w:r>
            <w:r>
              <w:t xml:space="preserve"> </w:t>
            </w:r>
            <w:r>
              <w:t xml:space="preserve">[14, 17]</w:t>
            </w:r>
            <w:r>
              <w:t xml:space="preserve"> </w:t>
            </w:r>
            <w:r>
              <w:t xml:space="preserve">| I think the guidance could be improved | Reporting guidelines may need to be revised and updated for different reasons |</w:t>
            </w:r>
            <w:r>
              <w:t xml:space="preserve"> </w:t>
            </w:r>
            <w:r>
              <w:t xml:space="preserve">| |</w:t>
            </w:r>
            <w:r>
              <w:t xml:space="preserve"> </w:t>
            </w:r>
            <w:r>
              <w:t xml:space="preserve">I would move this item</w:t>
            </w:r>
            <w:r>
              <w:t xml:space="preserve"> </w:t>
            </w:r>
            <w:r>
              <w:t xml:space="preserve">[11, 15]</w:t>
            </w:r>
            <w:r>
              <w:t xml:space="preserve"> </w:t>
            </w:r>
            <w:r>
              <w:t xml:space="preserve">| Guidelines need to be kept updated | |</w:t>
            </w:r>
            <w:r>
              <w:t xml:space="preserve"> </w:t>
            </w:r>
            <w:r>
              <w:t xml:space="preserve">| |</w:t>
            </w:r>
            <w:r>
              <w:t xml:space="preserve"> </w:t>
            </w:r>
            <w:r>
              <w:t xml:space="preserve">I would split this item into two</w:t>
            </w:r>
            <w:r>
              <w:t xml:space="preserve"> </w:t>
            </w:r>
            <w:r>
              <w:t xml:space="preserve">[11, 14, 40]</w:t>
            </w:r>
            <w:r>
              <w:t xml:space="preserve"> </w:t>
            </w:r>
            <w:r>
              <w:t xml:space="preserve">| | |</w:t>
            </w:r>
            <w:r>
              <w:t xml:space="preserve"> </w:t>
            </w:r>
            <w:r>
              <w:t xml:space="preserve">| |</w:t>
            </w:r>
            <w:r>
              <w:t xml:space="preserve"> </w:t>
            </w:r>
            <w:r>
              <w:t xml:space="preserve">I would add or remove items from this guideline</w:t>
            </w:r>
            <w:r>
              <w:t xml:space="preserve"> </w:t>
            </w:r>
            <w:r>
              <w:t xml:space="preserve">[11, 13, 14, 17]</w:t>
            </w:r>
            <w:r>
              <w:t xml:space="preserve"> </w:t>
            </w:r>
            <w:r>
              <w:t xml:space="preserve">| | |</w:t>
            </w:r>
            <w:r>
              <w:t xml:space="preserve"> </w:t>
            </w:r>
            <w:r>
              <w:t xml:space="preserve">| |</w:t>
            </w:r>
            <w:r>
              <w:t xml:space="preserve"> </w:t>
            </w:r>
            <w:r>
              <w:t xml:space="preserve">I would add or remove requirements from this item</w:t>
            </w:r>
            <w:r>
              <w:t xml:space="preserve"> </w:t>
            </w:r>
            <w:r>
              <w:t xml:space="preserve">[10, 14, 16, 17, 24]</w:t>
            </w:r>
            <w:r>
              <w:t xml:space="preserve"> </w:t>
            </w:r>
            <w:r>
              <w:t xml:space="preserve">| | |</w:t>
            </w:r>
            <w:r>
              <w:t xml:space="preserve"> </w:t>
            </w:r>
            <w:r>
              <w:t xml:space="preserve">| |</w:t>
            </w:r>
            <w:r>
              <w:t xml:space="preserve"> </w:t>
            </w:r>
            <w:r>
              <w:t xml:space="preserve">Guidelines can become out of date</w:t>
            </w:r>
            <w:r>
              <w:t xml:space="preserve"> </w:t>
            </w:r>
            <w:r>
              <w:t xml:space="preserve">[11]</w:t>
            </w:r>
            <w:r>
              <w:t xml:space="preserve"> </w:t>
            </w:r>
            <w:r>
              <w:t xml:space="preserve">| | |</w:t>
            </w:r>
            <w:r>
              <w:t xml:space="preserve"> </w:t>
            </w:r>
            <w:r>
              <w:t xml:space="preserve">| |</w:t>
            </w:r>
            <w:r>
              <w:t xml:space="preserve"> </w:t>
            </w:r>
            <w:r>
              <w:t xml:space="preserve">Guidelines need to be updated</w:t>
            </w:r>
            <w:r>
              <w:t xml:space="preserve"> </w:t>
            </w:r>
            <w:r>
              <w:t xml:space="preserve">[14]</w:t>
            </w:r>
            <w:r>
              <w:t xml:space="preserve"> </w:t>
            </w:r>
            <w:r>
              <w:t xml:space="preserve">| | |</w:t>
            </w:r>
          </w:p>
        </w:tc>
      </w:tr>
      <w:tr>
        <w:tc>
          <w:tcPr>
            <w:gridSpan w:val="3"/>
          </w:tcPr>
          <w:p>
            <w:pPr>
              <w:pStyle w:val="Compact"/>
              <w:jc w:val="left"/>
            </w:pPr>
            <w:r>
              <w:t xml:space="preserve">I cannot report this because I didn’t do it | I feel unable to report this | Researchers may not be able to report all items which can leave them feeling uncertain or worried</w:t>
            </w:r>
            <w:r>
              <w:t xml:space="preserve"> </w:t>
            </w:r>
            <w:r>
              <w:t xml:space="preserve">| |</w:t>
            </w:r>
            <w:r>
              <w:t xml:space="preserve"> </w:t>
            </w:r>
            <w:r>
              <w:t xml:space="preserve">[11, 14, 17, 22]</w:t>
            </w:r>
            <w:r>
              <w:t xml:space="preserve"> </w:t>
            </w:r>
            <w:r>
              <w:t xml:space="preserve">| I feel nervous or uncertain if I am unable to report an item | |</w:t>
            </w:r>
            <w:r>
              <w:t xml:space="preserve"> </w:t>
            </w:r>
            <w:r>
              <w:t xml:space="preserve">| |</w:t>
            </w:r>
            <w:r>
              <w:t xml:space="preserve"> </w:t>
            </w:r>
            <w:r>
              <w:t xml:space="preserve">I cannot report this because of intellectual property issues | |</w:t>
            </w:r>
            <w:r>
              <w:t xml:space="preserve"> </w:t>
            </w:r>
            <w:r>
              <w:t xml:space="preserve">| |</w:t>
            </w:r>
            <w:r>
              <w:t xml:space="preserve"> </w:t>
            </w:r>
            <w:r>
              <w:t xml:space="preserve">[22]</w:t>
            </w:r>
            <w:r>
              <w:t xml:space="preserve"> </w:t>
            </w:r>
            <w:r>
              <w:t xml:space="preserve">| | |</w:t>
            </w:r>
            <w:r>
              <w:t xml:space="preserve"> </w:t>
            </w:r>
            <w:r>
              <w:t xml:space="preserve">| |</w:t>
            </w:r>
            <w:r>
              <w:t xml:space="preserve"> </w:t>
            </w:r>
            <w:r>
              <w:t xml:space="preserve">I cannot report this because it clashes with journal guidelines</w:t>
            </w:r>
            <w:r>
              <w:t xml:space="preserve"> </w:t>
            </w:r>
            <w:r>
              <w:t xml:space="preserve">[14]</w:t>
            </w:r>
            <w:r>
              <w:t xml:space="preserve"> </w:t>
            </w:r>
            <w:r>
              <w:t xml:space="preserve">| | |</w:t>
            </w:r>
            <w:r>
              <w:t xml:space="preserve"> </w:t>
            </w:r>
            <w:r>
              <w:t xml:space="preserve">| |</w:t>
            </w:r>
            <w:r>
              <w:t xml:space="preserve"> </w:t>
            </w:r>
            <w:r>
              <w:t xml:space="preserve">I cannot report this because data was missing from my primary studies</w:t>
            </w:r>
            <w:r>
              <w:t xml:space="preserve"> </w:t>
            </w:r>
            <w:r>
              <w:t xml:space="preserve">[21]</w:t>
            </w:r>
            <w:r>
              <w:t xml:space="preserve"> </w:t>
            </w:r>
            <w:r>
              <w:t xml:space="preserve">| | |</w:t>
            </w:r>
            <w:r>
              <w:t xml:space="preserve"> </w:t>
            </w:r>
            <w:r>
              <w:t xml:space="preserve">| |</w:t>
            </w:r>
            <w:r>
              <w:t xml:space="preserve"> </w:t>
            </w:r>
            <w:r>
              <w:t xml:space="preserve">Editors, reviewers or co-authors asked me to remove this item</w:t>
            </w:r>
            <w:r>
              <w:t xml:space="preserve"> </w:t>
            </w:r>
            <w:r>
              <w:t xml:space="preserve">[17, 41]</w:t>
            </w:r>
            <w:r>
              <w:t xml:space="preserve"> </w:t>
            </w:r>
            <w:r>
              <w:t xml:space="preserve">| | |</w:t>
            </w:r>
            <w:r>
              <w:t xml:space="preserve"> </w:t>
            </w:r>
            <w:r>
              <w:t xml:space="preserve">| |</w:t>
            </w:r>
            <w:r>
              <w:t xml:space="preserve"> </w:t>
            </w:r>
            <w:r>
              <w:t xml:space="preserve">I feel uncertain because I don’t know how to say that I didn’t do it</w:t>
            </w:r>
            <w:r>
              <w:t xml:space="preserve"> </w:t>
            </w:r>
            <w:r>
              <w:t xml:space="preserve">[14]</w:t>
            </w:r>
            <w:r>
              <w:t xml:space="preserve"> </w:t>
            </w:r>
            <w:r>
              <w:t xml:space="preserve">| | |</w:t>
            </w:r>
            <w:r>
              <w:t xml:space="preserve"> </w:t>
            </w:r>
            <w:r>
              <w:t xml:space="preserve">| |</w:t>
            </w:r>
            <w:r>
              <w:t xml:space="preserve"> </w:t>
            </w:r>
            <w:r>
              <w:t xml:space="preserve">I feel worried that I will be judged for transparently reporting something I didn’t do</w:t>
            </w:r>
            <w:r>
              <w:t xml:space="preserve"> </w:t>
            </w:r>
            <w:r>
              <w:t xml:space="preserve">[10, 14]</w:t>
            </w:r>
            <w:r>
              <w:t xml:space="preserve"> </w:t>
            </w:r>
            <w:r>
              <w:t xml:space="preserve">| | |</w:t>
            </w:r>
          </w:p>
        </w:tc>
      </w:tr>
      <w:tr>
        <w:tc>
          <w:tcPr>
            <w:gridSpan w:val="3"/>
          </w:tcPr>
          <w:p>
            <w:pPr>
              <w:pStyle w:val="Compact"/>
              <w:jc w:val="left"/>
            </w:pPr>
            <w:r>
              <w:t xml:space="preserve">I may not know that reporting guidelines exist, or what guidance exists</w:t>
            </w:r>
            <w:r>
              <w:t xml:space="preserve"> </w:t>
            </w:r>
            <w:r>
              <w:t xml:space="preserve">[8, 12, 13, 18, 23]</w:t>
            </w:r>
            <w:r>
              <w:t xml:space="preserve"> </w:t>
            </w:r>
            <w:r>
              <w:t xml:space="preserve">| I can only use what I know about and have | Awareness and accessibility may limit reporting guideline usage |</w:t>
            </w:r>
            <w:r>
              <w:t xml:space="preserve"> </w:t>
            </w:r>
            <w:r>
              <w:t xml:space="preserve">| |</w:t>
            </w:r>
            <w:r>
              <w:t xml:space="preserve"> </w:t>
            </w:r>
            <w:r>
              <w:t xml:space="preserve">I may not be able to easily access guidance</w:t>
            </w:r>
            <w:r>
              <w:t xml:space="preserve"> </w:t>
            </w:r>
            <w:r>
              <w:t xml:space="preserve">[18, 23]</w:t>
            </w:r>
            <w:r>
              <w:t xml:space="preserve"> </w:t>
            </w:r>
            <w:r>
              <w:t xml:space="preserve">| | |</w:t>
            </w:r>
          </w:p>
        </w:tc>
      </w:tr>
      <w:tr>
        <w:tc>
          <w:tcPr>
            <w:gridSpan w:val="3"/>
          </w:tcPr>
          <w:p>
            <w:pPr>
              <w:pStyle w:val="Compact"/>
              <w:jc w:val="left"/>
            </w:pPr>
            <w:r>
              <w:t xml:space="preserve">Reporting guidelines may be less valuable to experienced researchers</w:t>
            </w:r>
            <w:r>
              <w:t xml:space="preserve"> </w:t>
            </w:r>
            <w:r>
              <w:t xml:space="preserve">[8, 10, 22]</w:t>
            </w:r>
            <w:r>
              <w:t xml:space="preserve"> </w:t>
            </w:r>
            <w:r>
              <w:t xml:space="preserve">| Reporting guidelines are more valuable to inexperienced researchers | Reporting guidelines may be more useful to less experienced researchers, but less experienced researchers may find them harder to use |</w:t>
            </w:r>
            <w:r>
              <w:t xml:space="preserve"> </w:t>
            </w:r>
            <w:r>
              <w:t xml:space="preserve">| |</w:t>
            </w:r>
            <w:r>
              <w:t xml:space="preserve"> </w:t>
            </w:r>
            <w:r>
              <w:t xml:space="preserve">Experienced researchers feel that they already know how to report</w:t>
            </w:r>
            <w:r>
              <w:t xml:space="preserve"> </w:t>
            </w:r>
            <w:r>
              <w:t xml:space="preserve">[8, 10, 11]</w:t>
            </w:r>
            <w:r>
              <w:t xml:space="preserve"> </w:t>
            </w:r>
            <w:r>
              <w:t xml:space="preserve">| Reporting guidelines can be hard to use at first but get easier with experience | |</w:t>
            </w:r>
            <w:r>
              <w:t xml:space="preserve"> </w:t>
            </w:r>
            <w:r>
              <w:t xml:space="preserve">| |</w:t>
            </w:r>
            <w:r>
              <w:t xml:space="preserve"> </w:t>
            </w:r>
            <w:r>
              <w:t xml:space="preserve">Experienced researchers find guidance patronizing and feel untrusted</w:t>
            </w:r>
            <w:r>
              <w:t xml:space="preserve"> </w:t>
            </w:r>
            <w:r>
              <w:t xml:space="preserve">[9, 12, 14, 22]</w:t>
            </w:r>
            <w:r>
              <w:t xml:space="preserve"> </w:t>
            </w:r>
            <w:r>
              <w:t xml:space="preserve">| | |</w:t>
            </w:r>
            <w:r>
              <w:t xml:space="preserve"> </w:t>
            </w:r>
            <w:r>
              <w:t xml:space="preserve">| |</w:t>
            </w:r>
            <w:r>
              <w:t xml:space="preserve"> </w:t>
            </w:r>
            <w:r>
              <w:t xml:space="preserve">Reporting guidelines can be hard to use at first but get easier with experience</w:t>
            </w:r>
            <w:r>
              <w:t xml:space="preserve"> </w:t>
            </w:r>
            <w:r>
              <w:t xml:space="preserve">[11, 12, 23]</w:t>
            </w:r>
            <w:r>
              <w:t xml:space="preserve"> </w:t>
            </w:r>
            <w:r>
              <w:t xml:space="preserve">| | |</w:t>
            </w:r>
          </w:p>
        </w:tc>
      </w:tr>
      <w:tr>
        <w:tc>
          <w:tcPr>
            <w:gridSpan w:val="3"/>
          </w:tcPr>
          <w:p>
            <w:pPr>
              <w:pStyle w:val="Compact"/>
              <w:jc w:val="left"/>
            </w:pPr>
            <w:r>
              <w:t xml:space="preserve">I want design or methodological advice</w:t>
            </w:r>
            <w:r>
              <w:t xml:space="preserve"> </w:t>
            </w:r>
            <w:r>
              <w:t xml:space="preserve">[9, 10, 14]</w:t>
            </w:r>
            <w:r>
              <w:t xml:space="preserve"> </w:t>
            </w:r>
            <w:r>
              <w:t xml:space="preserve">| I want or need design advice | Researchers want or need design advice, but reporting guidelines may not be the right place |</w:t>
            </w:r>
            <w:r>
              <w:t xml:space="preserve"> </w:t>
            </w:r>
            <w:r>
              <w:t xml:space="preserve">| |</w:t>
            </w:r>
            <w:r>
              <w:t xml:space="preserve"> </w:t>
            </w:r>
            <w:r>
              <w:t xml:space="preserve">I don’t know how to do this item</w:t>
            </w:r>
            <w:r>
              <w:t xml:space="preserve"> </w:t>
            </w:r>
            <w:r>
              <w:t xml:space="preserve">[11, 14, 17]</w:t>
            </w:r>
            <w:r>
              <w:t xml:space="preserve"> </w:t>
            </w:r>
            <w:r>
              <w:t xml:space="preserve">| I think this guidance prescribes how research should be designed | |</w:t>
            </w:r>
            <w:r>
              <w:t xml:space="preserve"> </w:t>
            </w:r>
            <w:r>
              <w:t xml:space="preserve">| |</w:t>
            </w:r>
            <w:r>
              <w:t xml:space="preserve"> </w:t>
            </w:r>
            <w:r>
              <w:t xml:space="preserve">Guidelines are procedural straightjackets</w:t>
            </w:r>
            <w:r>
              <w:t xml:space="preserve"> </w:t>
            </w:r>
            <w:r>
              <w:t xml:space="preserve">[10]</w:t>
            </w:r>
            <w:r>
              <w:t xml:space="preserve"> </w:t>
            </w:r>
            <w:r>
              <w:t xml:space="preserve">|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p>
        </w:tc>
      </w:tr>
      <w:tr>
        <w:tc>
          <w:tcPr>
            <w:gridSpan w:val="3"/>
          </w:tcPr>
          <w:p>
            <w:pPr>
              <w:pStyle w:val="Compact"/>
              <w:jc w:val="left"/>
            </w:pPr>
            <w:r>
              <w:t xml:space="preserve">The guideline’s applicability criteria are not clear</w:t>
            </w:r>
            <w:r>
              <w:t xml:space="preserve"> </w:t>
            </w:r>
            <w:r>
              <w:t xml:space="preserve">[8, 13, 18]</w:t>
            </w:r>
            <w:r>
              <w:t xml:space="preserve"> </w:t>
            </w:r>
            <w:r>
              <w:t xml:space="preserve">| A guideline’s scope can be unclear | Reporting guidelines can be harder to use if their scope is too broad, too narrow, or poorly defined |</w:t>
            </w:r>
            <w:r>
              <w:t xml:space="preserve"> </w:t>
            </w:r>
            <w:r>
              <w:t xml:space="preserve">| |</w:t>
            </w:r>
            <w:r>
              <w:t xml:space="preserve"> </w:t>
            </w:r>
            <w:r>
              <w:t xml:space="preserve">This guideline isn’t a perfect fit for me</w:t>
            </w:r>
            <w:r>
              <w:t xml:space="preserve"> </w:t>
            </w:r>
            <w:r>
              <w:t xml:space="preserve">[18]</w:t>
            </w:r>
            <w:r>
              <w:t xml:space="preserve"> </w:t>
            </w:r>
            <w:r>
              <w:t xml:space="preserve">| A guideline can be too narrow | |</w:t>
            </w:r>
            <w:r>
              <w:t xml:space="preserve"> </w:t>
            </w:r>
            <w:r>
              <w:t xml:space="preserve">| |</w:t>
            </w:r>
            <w:r>
              <w:t xml:space="preserve"> </w:t>
            </w:r>
            <w:r>
              <w:t xml:space="preserve">This guideline doesn’t generalise</w:t>
            </w:r>
            <w:r>
              <w:t xml:space="preserve"> </w:t>
            </w:r>
            <w:r>
              <w:t xml:space="preserve">[8–10, 14, 24]</w:t>
            </w:r>
            <w:r>
              <w:t xml:space="preserve"> </w:t>
            </w:r>
            <w:r>
              <w:t xml:space="preserve">| A guideline’s scope can be too broad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r>
              <w:t xml:space="preserve"> </w:t>
            </w:r>
            <w:r>
              <w:t xml:space="preserve">| |</w:t>
            </w:r>
            <w:r>
              <w:t xml:space="preserve"> </w:t>
            </w:r>
            <w:r>
              <w:t xml:space="preserve">I don’t want to see optional items that only apply to other types of study</w:t>
            </w:r>
            <w:r>
              <w:t xml:space="preserve"> </w:t>
            </w:r>
            <w:r>
              <w:t xml:space="preserve">[17, 18]</w:t>
            </w:r>
            <w:r>
              <w:t xml:space="preserve"> </w:t>
            </w:r>
            <w:r>
              <w:t xml:space="preserve">| | |</w:t>
            </w:r>
          </w:p>
        </w:tc>
      </w:tr>
      <w:tr>
        <w:tc>
          <w:tcPr>
            <w:gridSpan w:val="3"/>
          </w:tcPr>
          <w:p>
            <w:pPr>
              <w:pStyle w:val="Compact"/>
              <w:jc w:val="left"/>
            </w:pPr>
            <w:r>
              <w:t xml:space="preserve">I need to adhere to journal guidelines or other research guidelines</w:t>
            </w:r>
            <w:r>
              <w:t xml:space="preserve"> </w:t>
            </w:r>
            <w:r>
              <w:t xml:space="preserve">[8, 12, 14, 17]</w:t>
            </w:r>
            <w:r>
              <w:t xml:space="preserve"> </w:t>
            </w:r>
            <w:r>
              <w:t xml:space="preserve">| Authors often need to adhere to multiple sets of guidance | Researchers may have to use multiple sets of reporting guidelines, multiplying complexity and costs |</w:t>
            </w:r>
            <w:r>
              <w:t xml:space="preserve"> </w:t>
            </w:r>
            <w:r>
              <w:t xml:space="preserve">| |</w:t>
            </w:r>
            <w:r>
              <w:t xml:space="preserve"> </w:t>
            </w:r>
            <w:r>
              <w:t xml:space="preserve">I might need to use multiple reporting guidelines</w:t>
            </w:r>
            <w:r>
              <w:t xml:space="preserve"> </w:t>
            </w:r>
            <w:r>
              <w:t xml:space="preserve">[10]</w:t>
            </w:r>
            <w:r>
              <w:t xml:space="preserve"> </w:t>
            </w:r>
            <w:r>
              <w:t xml:space="preserve">| I want guidelines to harmonize | |</w:t>
            </w:r>
            <w:r>
              <w:t xml:space="preserve"> </w:t>
            </w:r>
            <w:r>
              <w:t xml:space="preserve">| |</w:t>
            </w:r>
            <w:r>
              <w:t xml:space="preserve"> </w:t>
            </w:r>
            <w:r>
              <w:t xml:space="preserve">I want reporting guidelines to be linked or embedded</w:t>
            </w:r>
            <w:r>
              <w:t xml:space="preserve"> </w:t>
            </w:r>
            <w:r>
              <w:t xml:space="preserve">[13, 14]</w:t>
            </w:r>
            <w:r>
              <w:t xml:space="preserve"> </w:t>
            </w:r>
            <w:r>
              <w:t xml:space="preserve">| | |</w:t>
            </w:r>
            <w:r>
              <w:t xml:space="preserve"> </w:t>
            </w:r>
            <w:r>
              <w:t xml:space="preserve">| |</w:t>
            </w:r>
            <w:r>
              <w:t xml:space="preserve"> </w:t>
            </w:r>
            <w:r>
              <w:t xml:space="preserve">I want reporting guidelines to use similar structure</w:t>
            </w:r>
            <w:r>
              <w:t xml:space="preserve"> </w:t>
            </w:r>
            <w:r>
              <w:t xml:space="preserve">[14]</w:t>
            </w:r>
            <w:r>
              <w:t xml:space="preserve"> </w:t>
            </w:r>
            <w:r>
              <w:t xml:space="preserve">| | |</w:t>
            </w:r>
            <w:r>
              <w:t xml:space="preserve"> </w:t>
            </w:r>
            <w:r>
              <w:t xml:space="preserve">| |</w:t>
            </w:r>
            <w:r>
              <w:t xml:space="preserve"> </w:t>
            </w:r>
            <w:r>
              <w:t xml:space="preserve">I want reporting guidelines to use similar terms</w:t>
            </w:r>
            <w:r>
              <w:t xml:space="preserve"> </w:t>
            </w:r>
            <w:r>
              <w:t xml:space="preserve">[14]</w:t>
            </w:r>
            <w:r>
              <w:t xml:space="preserve"> </w:t>
            </w:r>
            <w:r>
              <w:t xml:space="preserve">| | |</w:t>
            </w:r>
          </w:p>
        </w:tc>
      </w:tr>
      <w:tr>
        <w:tc>
          <w:tcPr>
            <w:gridSpan w:val="3"/>
          </w:tcPr>
          <w:p>
            <w:pPr>
              <w:pStyle w:val="Compact"/>
              <w:jc w:val="left"/>
            </w:pPr>
            <w:r>
              <w:t xml:space="preserve">I don’t like checklists</w:t>
            </w:r>
            <w:r>
              <w:t xml:space="preserve">[8, 10, 18, 22]</w:t>
            </w:r>
            <w:r>
              <w:t xml:space="preserve"> </w:t>
            </w:r>
            <w:r>
              <w:t xml:space="preserve">| I experience reporting guidelines primarily as, or through, checklists | Researchers may use checklists but never read the full guidance |</w:t>
            </w:r>
            <w:r>
              <w:t xml:space="preserve"> </w:t>
            </w:r>
            <w:r>
              <w:t xml:space="preserve">| |</w:t>
            </w:r>
            <w:r>
              <w:t xml:space="preserve"> </w:t>
            </w:r>
            <w:r>
              <w:t xml:space="preserve">I may use the checklist instead of the full guidance</w:t>
            </w:r>
            <w:r>
              <w:t xml:space="preserve"> </w:t>
            </w:r>
            <w:r>
              <w:t xml:space="preserve">[16]</w:t>
            </w:r>
            <w:r>
              <w:t xml:space="preserve"> </w:t>
            </w:r>
            <w:r>
              <w:t xml:space="preserve">| | |</w:t>
            </w:r>
            <w:r>
              <w:t xml:space="preserve"> </w:t>
            </w:r>
            <w:r>
              <w:t xml:space="preserve">| |</w:t>
            </w:r>
            <w:r>
              <w:t xml:space="preserve"> </w:t>
            </w:r>
            <w:r>
              <w:t xml:space="preserve">I may use the checklist before I read the full guidance</w:t>
            </w:r>
            <w:r>
              <w:t xml:space="preserve"> </w:t>
            </w:r>
            <w:r>
              <w:t xml:space="preserve">[16]</w:t>
            </w:r>
            <w:r>
              <w:t xml:space="preserve"> </w:t>
            </w:r>
            <w:r>
              <w:t xml:space="preserve">| | |</w:t>
            </w:r>
          </w:p>
        </w:tc>
      </w:tr>
    </w:tbl>
    <w:bookmarkEnd w:id="51"/>
    <w:bookmarkEnd w:id="52"/>
    <w:bookmarkStart w:id="131" w:name="appendix"/>
    <w:p>
      <w:pPr>
        <w:pStyle w:val="Heading1"/>
      </w:pPr>
      <w:r>
        <w:t xml:space="preserve">Appendix</w:t>
      </w:r>
    </w:p>
    <w:bookmarkStart w:id="130" w:name="app-search-strategies"/>
    <w:p>
      <w:pPr>
        <w:pStyle w:val="Heading2"/>
      </w:pPr>
      <w:r>
        <w:t xml:space="preserve">Search strategies</w:t>
      </w:r>
    </w:p>
    <w:p>
      <w:pPr>
        <w:pStyle w:val="FirstParagraph"/>
      </w:pPr>
      <w:r>
        <w:t xml:space="preserve">I did not seek any external peer review of my search. I did not record the database versions at the time of searching due to an oversight. I performed forward and backwards citation searching but found no additional records. I did not set up email alerts.</w:t>
      </w:r>
    </w:p>
    <w:bookmarkStart w:id="53" w:name="ovid-search-strategy"/>
    <w:p>
      <w:pPr>
        <w:pStyle w:val="Heading3"/>
      </w:pPr>
      <w:r>
        <w:t xml:space="preserve">Ovid search strategy</w:t>
      </w:r>
    </w:p>
    <w:p>
      <w:pPr>
        <w:pStyle w:val="FirstParagraph"/>
      </w:pPr>
      <w:r>
        <w:t xml:space="preserve">Databases: Medline, Embase, AMED, PsycINFO.</w:t>
      </w:r>
    </w:p>
    <w:p>
      <w:pPr>
        <w:pStyle w:val="BodyText"/>
      </w:pPr>
      <w:r>
        <w:t xml:space="preserve">Search date: 08/12/2021</w:t>
      </w:r>
    </w:p>
    <w:p>
      <w:pPr>
        <w:pStyle w:val="BodyText"/>
      </w:pPr>
      <w:r>
        <w:t xml:space="preserve">I used a federated search. The</w:t>
      </w:r>
      <w:r>
        <w:t xml:space="preserve"> </w:t>
      </w:r>
      <w:r>
        <w:rPr>
          <w:iCs/>
          <w:i/>
        </w:rPr>
        <w:t xml:space="preserve">kw</w:t>
      </w:r>
      <w:r>
        <w:t xml:space="preserve"> </w:t>
      </w:r>
      <w:r>
        <w:t xml:space="preserve">field does not exist in PsycINFO or AMED and so was ignored by these databases. The</w:t>
      </w:r>
      <w:r>
        <w:t xml:space="preserve"> </w:t>
      </w:r>
      <w:r>
        <w:rPr>
          <w:iCs/>
          <w:i/>
        </w:rPr>
        <w:t xml:space="preserve">tw</w:t>
      </w:r>
      <w:r>
        <w:t xml:space="preserve"> </w:t>
      </w:r>
      <w:r>
        <w:t xml:space="preserve">field does not exist in AMED either and was mapped to</w:t>
      </w:r>
      <w:r>
        <w:t xml:space="preserve"> </w:t>
      </w:r>
      <w:r>
        <w:rPr>
          <w:iCs/>
          <w:i/>
        </w:rPr>
        <w:t xml:space="preserve">af</w:t>
      </w:r>
      <w:r>
        <w:t xml:space="preserve"> </w:t>
      </w:r>
      <w:r>
        <w:t xml:space="preserve">instead.</w:t>
      </w:r>
    </w:p>
    <w:p>
      <w:pPr>
        <w:numPr>
          <w:ilvl w:val="0"/>
          <w:numId w:val="1002"/>
        </w:numPr>
      </w:pPr>
      <w:r>
        <w:t xml:space="preserve">((reporting or writ$ or author$) adj2 (checklist$ or statement$ or guid$ or template$ or standard$ or recommendation$)).ti,kw.</w:t>
      </w:r>
    </w:p>
    <w:p>
      <w:pPr>
        <w:numPr>
          <w:ilvl w:val="0"/>
          <w:numId w:val="1002"/>
        </w:numPr>
      </w:pPr>
      <w:r>
        <w:t xml:space="preserve">((consort$ or strobe$ or stard$ or prisma$ or moose$ or squire$ or arrive$ or remark$ or tripod$ or cheers$ or spirit$ or srqr$ or coreq$) adj3 (guid$ or statement$ or checklist$)).ti,kw.</w:t>
      </w:r>
    </w:p>
    <w:p>
      <w:pPr>
        <w:numPr>
          <w:ilvl w:val="0"/>
          <w:numId w:val="1002"/>
        </w:numPr>
      </w:pPr>
      <w:r>
        <w:t xml:space="preserve">(experience$ or interview$ or survey$ or questionnaire$ or "focus group$" or facilitat$ or barrier$).af.</w:t>
      </w:r>
    </w:p>
    <w:p>
      <w:pPr>
        <w:numPr>
          <w:ilvl w:val="0"/>
          <w:numId w:val="1002"/>
        </w:numPr>
      </w:pPr>
      <w:r>
        <w:t xml:space="preserve">qualitative.tw.</w:t>
      </w:r>
    </w:p>
    <w:p>
      <w:pPr>
        <w:numPr>
          <w:ilvl w:val="0"/>
          <w:numId w:val="1002"/>
        </w:numPr>
      </w:pPr>
      <w:r>
        <w:t xml:space="preserve">1 or 2</w:t>
      </w:r>
    </w:p>
    <w:p>
      <w:pPr>
        <w:numPr>
          <w:ilvl w:val="0"/>
          <w:numId w:val="1002"/>
        </w:numPr>
      </w:pPr>
      <w:r>
        <w:t xml:space="preserve">3 or 4</w:t>
      </w:r>
    </w:p>
    <w:p>
      <w:pPr>
        <w:numPr>
          <w:ilvl w:val="0"/>
          <w:numId w:val="1002"/>
        </w:numPr>
      </w:pPr>
      <w:r>
        <w:t xml:space="preserve">5 and 6</w:t>
      </w:r>
    </w:p>
    <w:p>
      <w:pPr>
        <w:pStyle w:val="FirstParagraph"/>
      </w:pPr>
      <w:r>
        <w:t xml:space="preserve">Platform-specific filter applied: 1996 – current year</w:t>
      </w:r>
    </w:p>
    <w:bookmarkEnd w:id="53"/>
    <w:bookmarkStart w:id="55" w:name="X9e4fd4691d247740d92363a0238adddf022e366"/>
    <w:p>
      <w:pPr>
        <w:pStyle w:val="Heading3"/>
      </w:pPr>
      <w:r>
        <w:t xml:space="preserve">Global Index Medicus &amp; SciELO search strategy</w:t>
      </w:r>
    </w:p>
    <w:p>
      <w:pPr>
        <w:pStyle w:val="FirstParagraph"/>
      </w:pPr>
      <w:r>
        <w:t xml:space="preserve">Databases: Latin American and Caribbean Health Sciences Literature, African Index Medicus, Western Pacific Region Index Medicus, Index Medicus for South-East Asia Region, and Index Medicus for the Eastern Mediterranean Region, searched using Global Index Medicus (https://www.globalindexmedicus.net/); Scientific Electronic Library Online (</w:t>
      </w:r>
      <w:hyperlink r:id="rId54">
        <w:r>
          <w:rPr>
            <w:rStyle w:val="Hyperlink"/>
          </w:rPr>
          <w:t xml:space="preserve">https://scielo.org/en/</w:t>
        </w:r>
      </w:hyperlink>
      <w:r>
        <w:t xml:space="preserve">).</w:t>
      </w:r>
    </w:p>
    <w:p>
      <w:pPr>
        <w:pStyle w:val="BodyText"/>
      </w:pPr>
      <w:r>
        <w:t xml:space="preserve">Search date: 08/12/2021</w:t>
      </w:r>
    </w:p>
    <w:p>
      <w:pPr>
        <w:pStyle w:val="BodyText"/>
      </w:pPr>
      <w:r>
        <w:t xml:space="preserve">ti:(((reporting OR writ* OR author*) AND (checklist* OR statement* OR guid* OR template* OR standard* OR recommendation* OR experience* OR interview* OR survey* OR questionnaire* OR "focus group*" OR facilitat* OR barrier* OR qualitative*)))</w:t>
      </w:r>
    </w:p>
    <w:p>
      <w:pPr>
        <w:pStyle w:val="BodyText"/>
      </w:pPr>
      <w:r>
        <w:t xml:space="preserve">Platform-specific filter applied: 1996 – current year</w:t>
      </w:r>
    </w:p>
    <w:bookmarkEnd w:id="55"/>
    <w:bookmarkStart w:id="57" w:name="chinese-biomedical-literature-database"/>
    <w:p>
      <w:pPr>
        <w:pStyle w:val="Heading3"/>
      </w:pPr>
      <w:r>
        <w:t xml:space="preserve">Chinese Biomedical Literature Database</w:t>
      </w:r>
    </w:p>
    <w:p>
      <w:pPr>
        <w:pStyle w:val="FirstParagraph"/>
      </w:pPr>
      <w:r>
        <w:t xml:space="preserve">Database URL:</w:t>
      </w:r>
      <w:r>
        <w:t xml:space="preserve"> </w:t>
      </w:r>
      <w:hyperlink r:id="rId56">
        <w:r>
          <w:rPr>
            <w:rStyle w:val="Hyperlink"/>
          </w:rPr>
          <w:t xml:space="preserve">https://www.imicams.ac.cn/</w:t>
        </w:r>
      </w:hyperlink>
    </w:p>
    <w:p>
      <w:pPr>
        <w:pStyle w:val="BodyText"/>
      </w:pPr>
      <w:r>
        <w:t xml:space="preserve">Search Date: 25/10/2021</w:t>
      </w:r>
    </w:p>
    <w:p>
      <w:pPr>
        <w:pStyle w:val="BodyText"/>
      </w:pPr>
      <w:r>
        <w:t xml:space="preserve">1. 报告 OR 撰写 OR 作者</w:t>
      </w:r>
    </w:p>
    <w:p>
      <w:pPr>
        <w:pStyle w:val="BodyText"/>
      </w:pPr>
      <w:r>
        <w:t xml:space="preserve">2. 清单 OR 声明 OR 指导 OR 规范 OR 指南 OR 共识 OR 模板 OR 标准 OR 推荐意见</w:t>
      </w:r>
    </w:p>
    <w:p>
      <w:pPr>
        <w:pStyle w:val="BodyText"/>
      </w:pPr>
      <w:r>
        <w:t xml:space="preserve">3. CONSORT OR PRISMA OR STROBE OR SPIRIT OR STARD OR SRQR OR ARRIVE OR SQUIRE OR CHEERS OR TRIPOD OR COREQ</w:t>
      </w:r>
    </w:p>
    <w:p>
      <w:pPr>
        <w:pStyle w:val="BodyText"/>
      </w:pPr>
      <w:r>
        <w:t xml:space="preserve">4. 经历 OR 体验 OR 访谈OR 调查 OR 问卷调查 OR 焦点小组 OR 焦点群众</w:t>
      </w:r>
    </w:p>
    <w:p>
      <w:pPr>
        <w:pStyle w:val="BodyText"/>
      </w:pPr>
      <w:r>
        <w:t xml:space="preserve">5. 促进 OR 阻碍</w:t>
      </w:r>
    </w:p>
    <w:p>
      <w:pPr>
        <w:pStyle w:val="BodyText"/>
      </w:pPr>
      <w:r>
        <w:t xml:space="preserve">6. 质性研究 OR 定性研究</w:t>
      </w:r>
    </w:p>
    <w:p>
      <w:pPr>
        <w:pStyle w:val="BodyText"/>
      </w:pPr>
      <w:r>
        <w:t xml:space="preserve">7. (#2) AND (#1)</w:t>
      </w:r>
    </w:p>
    <w:p>
      <w:pPr>
        <w:pStyle w:val="BodyText"/>
      </w:pPr>
      <w:r>
        <w:t xml:space="preserve">8. (#7) OR (#3)</w:t>
      </w:r>
    </w:p>
    <w:p>
      <w:pPr>
        <w:pStyle w:val="BodyText"/>
      </w:pPr>
      <w:r>
        <w:t xml:space="preserve">9. (#6) OR (#5) OR (#4)</w:t>
      </w:r>
    </w:p>
    <w:p>
      <w:pPr>
        <w:pStyle w:val="BodyText"/>
      </w:pPr>
      <w:r>
        <w:t xml:space="preserve">10. (#9) AND (#8)</w:t>
      </w:r>
    </w:p>
    <w:p>
      <w:pPr>
        <w:pStyle w:val="BodyText"/>
      </w:pPr>
      <w:r>
        <w:t xml:space="preserve">11. ((#9) AND (#8)) AND ("循证文献"[文献类型] OR "临床试验"[文献类型])</w:t>
      </w:r>
    </w:p>
    <w:bookmarkEnd w:id="57"/>
    <w:bookmarkStart w:id="59" w:name="china-national-knowledge-infrastructure"/>
    <w:p>
      <w:pPr>
        <w:pStyle w:val="Heading3"/>
      </w:pPr>
      <w:r>
        <w:t xml:space="preserve">China National Knowledge Infrastructure</w:t>
      </w:r>
    </w:p>
    <w:p>
      <w:pPr>
        <w:pStyle w:val="FirstParagraph"/>
      </w:pPr>
      <w:r>
        <w:t xml:space="preserve">Database URL:</w:t>
      </w:r>
      <w:r>
        <w:t xml:space="preserve"> </w:t>
      </w:r>
      <w:hyperlink r:id="rId58">
        <w:r>
          <w:rPr>
            <w:rStyle w:val="Hyperlink"/>
          </w:rPr>
          <w:t xml:space="preserve">https://www.cnki.net/</w:t>
        </w:r>
      </w:hyperlink>
    </w:p>
    <w:p>
      <w:pPr>
        <w:pStyle w:val="BodyText"/>
      </w:pPr>
      <w:r>
        <w:t xml:space="preserve">Search Date: 25/10/2021</w:t>
      </w:r>
    </w:p>
    <w:p>
      <w:pPr>
        <w:pStyle w:val="BodyText"/>
      </w:pPr>
      <w:r>
        <w:t xml:space="preserve">( ( ( TI = '报告' OR TI = '撰写' OR TI = '作者') AND (TI = '清单' OR TI = '声明' OR TI = '指导' OR TI = '规范' OR TI = '指南' OR TI = '共识' OR TI = '模板' OR TI = '标准' OR TI = '推荐意见' ) ) OR ( TI = 'CONSORT' OR TI = 'STROBE' OR TI = 'PRISMA' OR TI = 'SPIRIT' OR TI = 'STARD' OR TI = 'SRQR' OR TI = 'ARRIVE' OR TI = 'SQUIRE' OR TI = 'CHEERS' OR TI = 'TRIPOD' OR TI = 'COREQ' ) ) AND (TI = '经历' OR TI = '体验' OR TI = '访谈' OR TI = '调查' OR TI = '问卷调查' OR TI = '焦点群众' OR TI = '焦点小组' OR TI = '促进' OR TI = '阻碍' OR TI = '质性研究' OR TI = '定性研究' )</w:t>
      </w:r>
    </w:p>
    <w:bookmarkEnd w:id="59"/>
    <w:bookmarkStart w:id="60" w:name="wanfang-data"/>
    <w:p>
      <w:pPr>
        <w:pStyle w:val="Heading3"/>
      </w:pPr>
      <w:r>
        <w:t xml:space="preserve">Wanfang Data</w:t>
      </w:r>
    </w:p>
    <w:p>
      <w:pPr>
        <w:pStyle w:val="FirstParagraph"/>
      </w:pPr>
      <w:r>
        <w:t xml:space="preserve">Database URL: http://www.wanfangdata.com/</w:t>
      </w:r>
    </w:p>
    <w:p>
      <w:pPr>
        <w:pStyle w:val="BodyText"/>
      </w:pPr>
      <w:r>
        <w:t xml:space="preserve">(((题名或关键词:(报告 or 撰写 or 作者)) and (题名或关键词:(清单 or 声明 or 指导 or 规范 or 指南 or 共识 or 模板 or 标准 or 推荐意见))) or (题名或关键词:(CONSORT or STROBE or STARD or PRISMA or MOOSE or SQUIRE or ARRIVE or REMARK or TRIPOD or CHEERS or SPIRIT or SRQR or COREQ))) and (题名或关键词:(经历 or 体验 or 访谈 or 访问 or 采访 or 调查 or 问卷调查 or 焦点小组 or 焦点群众 or 促进 or 阻碍 or 质性研究 or 定性研究))</w:t>
      </w:r>
    </w:p>
    <w:bookmarkEnd w:id="60"/>
    <w:bookmarkStart w:id="61" w:name="vip-chinese-medical-journal-database"/>
    <w:p>
      <w:pPr>
        <w:pStyle w:val="Heading3"/>
      </w:pPr>
      <w:r>
        <w:t xml:space="preserve">VIP Chinese Medical Journal Database</w:t>
      </w:r>
    </w:p>
    <w:p>
      <w:pPr>
        <w:pStyle w:val="FirstParagraph"/>
      </w:pPr>
      <w:r>
        <w:t xml:space="preserve">Database URL: http://www.cqvip.com/</w:t>
      </w:r>
    </w:p>
    <w:p>
      <w:pPr>
        <w:pStyle w:val="BodyText"/>
      </w:pPr>
      <w:r>
        <w:t xml:space="preserve">(((M=(报告 OR 撰写 OR 作者)) AND (M=(清单 OR 声明 OR 指导 OR 规范 OR 指南 OR 共识 OR 模板 OR 标准 OR 推荐意见))) OR (M=(CONSORT OR PRISMA OR STROBE OR SPIRIT OR STARD OR SRQR OR ARRIVE OR SQUIRE OR CHEERS OR TRIPOD OR COREQ))) AND (M=(体验 OR 访谈 OR 调查 OR 问卷调查 OR 焦点群众 OR 焦点小组 OR 质性研究 OR 定性研究))</w:t>
      </w:r>
    </w:p>
    <w:bookmarkEnd w:id="61"/>
    <w:bookmarkStart w:id="63" w:name="osf"/>
    <w:p>
      <w:pPr>
        <w:pStyle w:val="Heading3"/>
      </w:pPr>
      <w:r>
        <w:t xml:space="preserve">OSF</w:t>
      </w:r>
    </w:p>
    <w:p>
      <w:pPr>
        <w:pStyle w:val="FirstParagraph"/>
      </w:pPr>
      <w:r>
        <w:t xml:space="preserve">URL:</w:t>
      </w:r>
      <w:r>
        <w:t xml:space="preserve"> </w:t>
      </w:r>
      <w:hyperlink r:id="rId62">
        <w:r>
          <w:rPr>
            <w:rStyle w:val="Hyperlink"/>
          </w:rPr>
          <w:t xml:space="preserve">https://osf.io/</w:t>
        </w:r>
      </w:hyperlink>
    </w:p>
    <w:p>
      <w:pPr>
        <w:pStyle w:val="BodyText"/>
      </w:pPr>
      <w:r>
        <w:t xml:space="preserve">Search Date: 15/12/2021</w:t>
      </w:r>
    </w:p>
    <w:p>
      <w:pPr>
        <w:pStyle w:val="BodyText"/>
      </w:pPr>
      <w:r>
        <w:t xml:space="preserve">title:(((reporting OR writ* OR author*) AND (checklist* OR statement* OR guid* OR template* OR standard* OR recommendation* OR experience* OR interview* OR survey* OR questionnaire* OR "focus group*" OR facilitat* OR barrier* OR qualitative*)))</w:t>
      </w:r>
    </w:p>
    <w:bookmarkEnd w:id="63"/>
    <w:bookmarkStart w:id="129" w:name="methods-in-research-on-research"/>
    <w:p>
      <w:pPr>
        <w:pStyle w:val="Heading3"/>
      </w:pPr>
      <w:r>
        <w:t xml:space="preserve">Methods in Research on Research</w:t>
      </w:r>
    </w:p>
    <w:p>
      <w:pPr>
        <w:pStyle w:val="FirstParagraph"/>
      </w:pPr>
      <w:r>
        <w:t xml:space="preserve">URL: http://miror-ejd.eu/publications/</w:t>
      </w:r>
    </w:p>
    <w:p>
      <w:pPr>
        <w:pStyle w:val="BodyText"/>
      </w:pPr>
      <w:r>
        <w:t xml:space="preserve">Search Date: 14/12/2021</w:t>
      </w:r>
    </w:p>
    <w:p>
      <w:pPr>
        <w:pStyle w:val="BodyText"/>
      </w:pPr>
      <w:r>
        <w:t xml:space="preserve">I manually searched the list of publications.</w:t>
      </w:r>
    </w:p>
    <w:bookmarkStart w:id="128" w:name="refs"/>
    <w:bookmarkStart w:id="65"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64">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65"/>
    <w:bookmarkStart w:id="67"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66">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67"/>
    <w:bookmarkStart w:id="69"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68">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69"/>
    <w:bookmarkStart w:id="71" w:name="ref-rogersLocatingQualitativeStudies2018"/>
    <w:p>
      <w:pPr>
        <w:pStyle w:val="Bibliography"/>
      </w:pPr>
      <w:r>
        <w:t xml:space="preserve">4.</w:t>
      </w:r>
      <w:r>
        <w:t xml:space="preserve"> </w:t>
      </w:r>
      <w:r>
        <w:t xml:space="preserve">	</w:t>
      </w:r>
      <w:r>
        <w:t xml:space="preserve">Rogers M, Bethel A, Abbott R (2018)</w:t>
      </w:r>
      <w:r>
        <w:t xml:space="preserve"> </w:t>
      </w:r>
      <w:hyperlink r:id="rId70">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71"/>
    <w:bookmarkStart w:id="72"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72"/>
    <w:bookmarkStart w:id="74" w:name="ref-thomasMethodsThematicSynthesis2008"/>
    <w:p>
      <w:pPr>
        <w:pStyle w:val="Bibliography"/>
      </w:pPr>
      <w:r>
        <w:t xml:space="preserve">6.</w:t>
      </w:r>
      <w:r>
        <w:t xml:space="preserve"> </w:t>
      </w:r>
      <w:r>
        <w:t xml:space="preserve">	</w:t>
      </w:r>
      <w:r>
        <w:t xml:space="preserve">Thomas J, Harden A (2008)</w:t>
      </w:r>
      <w:r>
        <w:t xml:space="preserve"> </w:t>
      </w:r>
      <w:hyperlink r:id="rId73">
        <w:r>
          <w:rPr>
            <w:rStyle w:val="Hyperlink"/>
          </w:rPr>
          <w:t xml:space="preserve">Methods for the thematic synthesis of qualitative research in systematic reviews</w:t>
        </w:r>
      </w:hyperlink>
      <w:r>
        <w:t xml:space="preserve">. BMC Medical Research Methodology 8:45</w:t>
      </w:r>
    </w:p>
    <w:bookmarkEnd w:id="74"/>
    <w:bookmarkStart w:id="75"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75"/>
    <w:bookmarkStart w:id="77"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76">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77"/>
    <w:bookmarkStart w:id="79"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7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79"/>
    <w:bookmarkStart w:id="80"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80"/>
    <w:bookmarkStart w:id="82"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81">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82"/>
    <w:bookmarkStart w:id="84"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83">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84"/>
    <w:bookmarkStart w:id="85"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85"/>
    <w:bookmarkStart w:id="87"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8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87"/>
    <w:bookmarkStart w:id="89"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88">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89"/>
    <w:bookmarkStart w:id="91"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90">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91"/>
    <w:bookmarkStart w:id="93" w:name="ref-pradyAssessingUtilityStandards2007"/>
    <w:p>
      <w:pPr>
        <w:pStyle w:val="Bibliography"/>
      </w:pPr>
      <w:r>
        <w:t xml:space="preserve">17.</w:t>
      </w:r>
      <w:r>
        <w:t xml:space="preserve"> </w:t>
      </w:r>
      <w:r>
        <w:t xml:space="preserve">	</w:t>
      </w:r>
      <w:r>
        <w:t xml:space="preserve">Prady SL, MacPherson H (2007)</w:t>
      </w:r>
      <w:r>
        <w:t xml:space="preserve"> </w:t>
      </w:r>
      <w:hyperlink r:id="rId92">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93"/>
    <w:bookmarkStart w:id="95"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94">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95"/>
    <w:bookmarkStart w:id="97"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96">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97"/>
    <w:bookmarkStart w:id="99"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98">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99"/>
    <w:bookmarkStart w:id="100"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100"/>
    <w:bookmarkStart w:id="101"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101"/>
    <w:bookmarkStart w:id="103"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102">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103"/>
    <w:bookmarkStart w:id="105" w:name="ref-tamPerceptionPreferredReporting2019"/>
    <w:p>
      <w:pPr>
        <w:pStyle w:val="Bibliography"/>
      </w:pPr>
      <w:r>
        <w:t xml:space="preserve">24.</w:t>
      </w:r>
      <w:r>
        <w:t xml:space="preserve"> </w:t>
      </w:r>
      <w:r>
        <w:t xml:space="preserve">	</w:t>
      </w:r>
      <w:r>
        <w:t xml:space="preserve">Tam WWS, Tang A, Woo B, Goh SYS (2019)</w:t>
      </w:r>
      <w:r>
        <w:t xml:space="preserve"> </w:t>
      </w:r>
      <w:hyperlink r:id="rId104">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105"/>
    <w:bookmarkStart w:id="107"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106">
        <w:r>
          <w:rPr>
            <w:rStyle w:val="Hyperlink"/>
          </w:rPr>
          <w:t xml:space="preserve">Describing reporting guidelines for health research: A systematic review</w:t>
        </w:r>
      </w:hyperlink>
      <w:r>
        <w:t xml:space="preserve">. Journal of Clinical Epidemiology 64:718–742</w:t>
      </w:r>
    </w:p>
    <w:bookmarkEnd w:id="107"/>
    <w:bookmarkStart w:id="109"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108">
        <w:r>
          <w:rPr>
            <w:rStyle w:val="Hyperlink"/>
          </w:rPr>
          <w:t xml:space="preserve">Guidance for developers of health research reporting guidelines</w:t>
        </w:r>
      </w:hyperlink>
      <w:r>
        <w:t xml:space="preserve">. PLOS Medicine 7:e1000217</w:t>
      </w:r>
    </w:p>
    <w:bookmarkEnd w:id="109"/>
    <w:bookmarkStart w:id="110"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10"/>
    <w:bookmarkStart w:id="111" w:name="ref-SinoMed"/>
    <w:p>
      <w:pPr>
        <w:pStyle w:val="Bibliography"/>
      </w:pPr>
      <w:r>
        <w:t xml:space="preserve">28.</w:t>
      </w:r>
      <w:r>
        <w:t xml:space="preserve"> </w:t>
      </w:r>
      <w:r>
        <w:t xml:space="preserve">	</w:t>
      </w:r>
      <w:r>
        <w:t xml:space="preserve">SinoMed</w:t>
      </w:r>
      <w:r>
        <w:t xml:space="preserve">.</w:t>
      </w:r>
      <w:r>
        <w:t xml:space="preserve"> </w:t>
      </w:r>
    </w:p>
    <w:bookmarkEnd w:id="111"/>
    <w:bookmarkStart w:id="112"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12"/>
    <w:bookmarkStart w:id="113"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13"/>
    <w:bookmarkStart w:id="114"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14"/>
    <w:bookmarkStart w:id="115"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15"/>
    <w:bookmarkStart w:id="116"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16"/>
    <w:bookmarkStart w:id="117"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17"/>
    <w:bookmarkStart w:id="118"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18"/>
    <w:bookmarkStart w:id="119"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19"/>
    <w:bookmarkStart w:id="120"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20"/>
    <w:bookmarkStart w:id="121"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21"/>
    <w:bookmarkStart w:id="122"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22"/>
    <w:bookmarkStart w:id="124"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23">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24"/>
    <w:bookmarkStart w:id="125"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25"/>
    <w:bookmarkStart w:id="127" w:name="ref-pagePRISMA2020Statement2021"/>
    <w:p>
      <w:pPr>
        <w:pStyle w:val="Bibliography"/>
      </w:pPr>
      <w:r>
        <w:t xml:space="preserve">42.</w:t>
      </w:r>
      <w:r>
        <w:t xml:space="preserve"> </w:t>
      </w:r>
      <w:r>
        <w:t xml:space="preserve">	</w:t>
      </w:r>
      <w:r>
        <w:t xml:space="preserve">Page MJ, McKenzie JE, Bossuyt PM, et al (2021)</w:t>
      </w:r>
      <w:r>
        <w:t xml:space="preserve"> </w:t>
      </w:r>
      <w:hyperlink r:id="rId126">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27"/>
    <w:bookmarkEnd w:id="128"/>
    <w:bookmarkEnd w:id="129"/>
    <w:bookmarkEnd w:id="130"/>
    <w:bookmarkEnd w:id="131"/>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3" Target="https://doi.org/10.1002/ebm2.7" TargetMode="External" /><Relationship Type="http://schemas.openxmlformats.org/officeDocument/2006/relationships/hyperlink" Id="rId70" Target="https://doi.org/10.1002/jrsm.1280" TargetMode="External" /><Relationship Type="http://schemas.openxmlformats.org/officeDocument/2006/relationships/hyperlink" Id="rId76" Target="https://doi.org/10.1007/s00330-018-5980-3" TargetMode="External" /><Relationship Type="http://schemas.openxmlformats.org/officeDocument/2006/relationships/hyperlink" Id="rId106" Target="https://doi.org/10.1016/j.jclinepi.2010.09.013" TargetMode="External" /><Relationship Type="http://schemas.openxmlformats.org/officeDocument/2006/relationships/hyperlink" Id="rId68" Target="https://doi.org/10.1016/j.jclinepi.2020.09.031" TargetMode="External" /><Relationship Type="http://schemas.openxmlformats.org/officeDocument/2006/relationships/hyperlink" Id="rId86" Target="https://doi.org/10.1016/j.jclinepi.2021.02.003" TargetMode="External" /><Relationship Type="http://schemas.openxmlformats.org/officeDocument/2006/relationships/hyperlink" Id="rId102" Target="https://doi.org/10.1017/S1049023X21000911" TargetMode="External" /><Relationship Type="http://schemas.openxmlformats.org/officeDocument/2006/relationships/hyperlink" Id="rId78" Target="https://doi.org/10.1073/pnas.2103238118" TargetMode="External" /><Relationship Type="http://schemas.openxmlformats.org/officeDocument/2006/relationships/hyperlink" Id="rId92" Target="https://doi.org/10.1089/acm.2007.7186" TargetMode="External" /><Relationship Type="http://schemas.openxmlformats.org/officeDocument/2006/relationships/hyperlink" Id="rId96" Target="https://doi.org/10.1136/bmj.39335.541782.AD" TargetMode="External" /><Relationship Type="http://schemas.openxmlformats.org/officeDocument/2006/relationships/hyperlink" Id="rId126" Target="https://doi.org/10.1136/bmj.n71" TargetMode="External" /><Relationship Type="http://schemas.openxmlformats.org/officeDocument/2006/relationships/hyperlink" Id="rId98" Target="https://doi.org/10.1136/bmjebm-2020-111604" TargetMode="External" /><Relationship Type="http://schemas.openxmlformats.org/officeDocument/2006/relationships/hyperlink" Id="rId104" Target="https://doi.org/10.1136/bmjopen-2018-026271" TargetMode="External" /><Relationship Type="http://schemas.openxmlformats.org/officeDocument/2006/relationships/hyperlink" Id="rId81" Target="https://doi.org/10.1136/bmjqs-2015-004116" TargetMode="External" /><Relationship Type="http://schemas.openxmlformats.org/officeDocument/2006/relationships/hyperlink" Id="rId88" Target="https://doi.org/10.1136/bmjqs-2015-004117" TargetMode="External" /><Relationship Type="http://schemas.openxmlformats.org/officeDocument/2006/relationships/hyperlink" Id="rId66" Target="https://doi.org/10.1186/1471-2288-12-181" TargetMode="External" /><Relationship Type="http://schemas.openxmlformats.org/officeDocument/2006/relationships/hyperlink" Id="rId73" Target="https://doi.org/10.1186/1471-2288-8-45" TargetMode="External" /><Relationship Type="http://schemas.openxmlformats.org/officeDocument/2006/relationships/hyperlink" Id="rId94" Target="https://doi.org/10.1186/s12874-021-01402-x" TargetMode="External" /><Relationship Type="http://schemas.openxmlformats.org/officeDocument/2006/relationships/hyperlink" Id="rId64" Target="https://doi.org/10.1186/s13643-020-01542-z" TargetMode="External" /><Relationship Type="http://schemas.openxmlformats.org/officeDocument/2006/relationships/hyperlink" Id="rId90" Target="https://doi.org/10.1371/journal.pbio.3000410" TargetMode="External" /><Relationship Type="http://schemas.openxmlformats.org/officeDocument/2006/relationships/hyperlink" Id="rId108" Target="https://doi.org/10.1371/journal.pmed.1000217" TargetMode="External" /><Relationship Type="http://schemas.openxmlformats.org/officeDocument/2006/relationships/hyperlink" Id="rId83" Target="https://doi.org/10.1371/journal.pone.0121585" TargetMode="External" /><Relationship Type="http://schemas.openxmlformats.org/officeDocument/2006/relationships/hyperlink" Id="rId62" Target="https://osf.io/" TargetMode="External" /><Relationship Type="http://schemas.openxmlformats.org/officeDocument/2006/relationships/hyperlink" Id="rId54" Target="https://scielo.org/en/" TargetMode="External" /><Relationship Type="http://schemas.openxmlformats.org/officeDocument/2006/relationships/hyperlink" Id="rId58" Target="https://www.cnki.net/" TargetMode="External" /><Relationship Type="http://schemas.openxmlformats.org/officeDocument/2006/relationships/hyperlink" Id="rId56" Target="https://www.imicams.ac.cn/" TargetMode="External" /></Relationships>
</file>

<file path=word/_rels/footnotes.xml.rels><?xml version="1.0" encoding="UTF-8"?><Relationships xmlns="http://schemas.openxmlformats.org/package/2006/relationships"><Relationship Type="http://schemas.openxmlformats.org/officeDocument/2006/relationships/hyperlink" Id="rId123" Target="https://doi.org/10.1002/ebm2.7" TargetMode="External" /><Relationship Type="http://schemas.openxmlformats.org/officeDocument/2006/relationships/hyperlink" Id="rId70" Target="https://doi.org/10.1002/jrsm.1280" TargetMode="External" /><Relationship Type="http://schemas.openxmlformats.org/officeDocument/2006/relationships/hyperlink" Id="rId76" Target="https://doi.org/10.1007/s00330-018-5980-3" TargetMode="External" /><Relationship Type="http://schemas.openxmlformats.org/officeDocument/2006/relationships/hyperlink" Id="rId106" Target="https://doi.org/10.1016/j.jclinepi.2010.09.013" TargetMode="External" /><Relationship Type="http://schemas.openxmlformats.org/officeDocument/2006/relationships/hyperlink" Id="rId68" Target="https://doi.org/10.1016/j.jclinepi.2020.09.031" TargetMode="External" /><Relationship Type="http://schemas.openxmlformats.org/officeDocument/2006/relationships/hyperlink" Id="rId86" Target="https://doi.org/10.1016/j.jclinepi.2021.02.003" TargetMode="External" /><Relationship Type="http://schemas.openxmlformats.org/officeDocument/2006/relationships/hyperlink" Id="rId102" Target="https://doi.org/10.1017/S1049023X21000911" TargetMode="External" /><Relationship Type="http://schemas.openxmlformats.org/officeDocument/2006/relationships/hyperlink" Id="rId78" Target="https://doi.org/10.1073/pnas.2103238118" TargetMode="External" /><Relationship Type="http://schemas.openxmlformats.org/officeDocument/2006/relationships/hyperlink" Id="rId92" Target="https://doi.org/10.1089/acm.2007.7186" TargetMode="External" /><Relationship Type="http://schemas.openxmlformats.org/officeDocument/2006/relationships/hyperlink" Id="rId96" Target="https://doi.org/10.1136/bmj.39335.541782.AD" TargetMode="External" /><Relationship Type="http://schemas.openxmlformats.org/officeDocument/2006/relationships/hyperlink" Id="rId126" Target="https://doi.org/10.1136/bmj.n71" TargetMode="External" /><Relationship Type="http://schemas.openxmlformats.org/officeDocument/2006/relationships/hyperlink" Id="rId98" Target="https://doi.org/10.1136/bmjebm-2020-111604" TargetMode="External" /><Relationship Type="http://schemas.openxmlformats.org/officeDocument/2006/relationships/hyperlink" Id="rId104" Target="https://doi.org/10.1136/bmjopen-2018-026271" TargetMode="External" /><Relationship Type="http://schemas.openxmlformats.org/officeDocument/2006/relationships/hyperlink" Id="rId81" Target="https://doi.org/10.1136/bmjqs-2015-004116" TargetMode="External" /><Relationship Type="http://schemas.openxmlformats.org/officeDocument/2006/relationships/hyperlink" Id="rId88" Target="https://doi.org/10.1136/bmjqs-2015-004117" TargetMode="External" /><Relationship Type="http://schemas.openxmlformats.org/officeDocument/2006/relationships/hyperlink" Id="rId66" Target="https://doi.org/10.1186/1471-2288-12-181" TargetMode="External" /><Relationship Type="http://schemas.openxmlformats.org/officeDocument/2006/relationships/hyperlink" Id="rId73" Target="https://doi.org/10.1186/1471-2288-8-45" TargetMode="External" /><Relationship Type="http://schemas.openxmlformats.org/officeDocument/2006/relationships/hyperlink" Id="rId94" Target="https://doi.org/10.1186/s12874-021-01402-x" TargetMode="External" /><Relationship Type="http://schemas.openxmlformats.org/officeDocument/2006/relationships/hyperlink" Id="rId64" Target="https://doi.org/10.1186/s13643-020-01542-z" TargetMode="External" /><Relationship Type="http://schemas.openxmlformats.org/officeDocument/2006/relationships/hyperlink" Id="rId90" Target="https://doi.org/10.1371/journal.pbio.3000410" TargetMode="External" /><Relationship Type="http://schemas.openxmlformats.org/officeDocument/2006/relationships/hyperlink" Id="rId108" Target="https://doi.org/10.1371/journal.pmed.1000217" TargetMode="External" /><Relationship Type="http://schemas.openxmlformats.org/officeDocument/2006/relationships/hyperlink" Id="rId83" Target="https://doi.org/10.1371/journal.pone.0121585" TargetMode="External" /><Relationship Type="http://schemas.openxmlformats.org/officeDocument/2006/relationships/hyperlink" Id="rId62" Target="https://osf.io/" TargetMode="External" /><Relationship Type="http://schemas.openxmlformats.org/officeDocument/2006/relationships/hyperlink" Id="rId54" Target="https://scielo.org/en/" TargetMode="External" /><Relationship Type="http://schemas.openxmlformats.org/officeDocument/2006/relationships/hyperlink" Id="rId58" Target="https://www.cnki.net/" TargetMode="External" /><Relationship Type="http://schemas.openxmlformats.org/officeDocument/2006/relationships/hyperlink" Id="rId56" Target="https://www.imicams.ac.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Commit ID: b2b401e</dc:creator>
  <cp:keywords/>
  <dcterms:created xsi:type="dcterms:W3CDTF">2023-07-21T20:58:35Z</dcterms:created>
  <dcterms:modified xsi:type="dcterms:W3CDTF">2023-07-21T20:58:35Z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2023-07-21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