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a72ba16</w:t>
      </w:r>
    </w:p>
    <w:p>
      <w:pPr>
        <w:pStyle w:val="Date"/>
      </w:pPr>
      <w:r>
        <w:t xml:space="preserve">2023-10-24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1"/>
      </w:pPr>
      <w:r>
        <w:t xml:space="preserve">Results</w:t>
      </w:r>
    </w:p>
    <w:bookmarkStart w:id="32" w:name="search"/>
    <w:p>
      <w:pPr>
        <w:pStyle w:val="Heading2"/>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r>
        <w:br w:type="page"/>
      </w:r>
    </w:p>
    <w:p>
      <w:pPr>
        <w:sectPr/>
      </w:pP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sectPr>
          <w:pgSz w:h="11906" w:w="16838" w:orient="landscape"/>
        </w:sectPr>
      </w:pP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50"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49" w:name="conclusions"/>
    <w:p>
      <w:pPr>
        <w:pStyle w:val="Heading2"/>
      </w:pPr>
      <w:r>
        <w:t xml:space="preserve">Conclusions</w:t>
      </w:r>
    </w:p>
    <w:p>
      <w:pPr>
        <w:pStyle w:val="FirstParagraph"/>
      </w:pPr>
      <w:r>
        <w:t xml:space="preserve">Researchers encounter many barriers and facilitators when using reporting guidelines. In chapters 7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bookmarkEnd w:id="49"/>
    <w:bookmarkEnd w:id="50"/>
    <w:bookmarkStart w:id="120" w:name="tables"/>
    <w:p>
      <w:pPr>
        <w:pStyle w:val="Heading1"/>
      </w:pPr>
      <w:r>
        <w:t xml:space="preserve">Tables</w:t>
      </w:r>
    </w:p>
    <w:bookmarkStart w:id="51"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51"/>
    <w:p>
      <w:pPr>
        <w:pStyle w:val="BodyText"/>
      </w:pPr>
      <w:r>
        <w:t xml:space="preserve"> </w:t>
      </w:r>
    </w:p>
    <w:bookmarkStart w:id="52"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2"/>
    <w:p>
      <w:pPr>
        <w:pStyle w:val="BodyText"/>
      </w:pPr>
      <w:r>
        <w:t xml:space="preserve"> </w:t>
      </w:r>
    </w:p>
    <w:bookmarkStart w:id="53"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3"/>
    <w:bookmarkStart w:id="54"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4"/>
    <w:bookmarkStart w:id="119" w:name="refs"/>
    <w:bookmarkStart w:id="56"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5">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6"/>
    <w:bookmarkStart w:id="58"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7">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8"/>
    <w:bookmarkStart w:id="60"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9">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0"/>
    <w:bookmarkStart w:id="62" w:name="ref-rogersLocatingQualitativeStudies2018"/>
    <w:p>
      <w:pPr>
        <w:pStyle w:val="Bibliography"/>
      </w:pPr>
      <w:r>
        <w:t xml:space="preserve">4.</w:t>
      </w:r>
      <w:r>
        <w:t xml:space="preserve"> </w:t>
      </w:r>
      <w:r>
        <w:t xml:space="preserve">	</w:t>
      </w:r>
      <w:r>
        <w:t xml:space="preserve">Rogers M, Bethel A, Abbott R (2018)</w:t>
      </w:r>
      <w:r>
        <w:t xml:space="preserve"> </w:t>
      </w:r>
      <w:hyperlink r:id="rId61">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2"/>
    <w:bookmarkStart w:id="63"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3"/>
    <w:bookmarkStart w:id="65" w:name="ref-thomasMethodsThematicSynthesis2008"/>
    <w:p>
      <w:pPr>
        <w:pStyle w:val="Bibliography"/>
      </w:pPr>
      <w:r>
        <w:t xml:space="preserve">6.</w:t>
      </w:r>
      <w:r>
        <w:t xml:space="preserve"> </w:t>
      </w:r>
      <w:r>
        <w:t xml:space="preserve">	</w:t>
      </w:r>
      <w:r>
        <w:t xml:space="preserve">Thomas J, Harden A (2008)</w:t>
      </w:r>
      <w:r>
        <w:t xml:space="preserve"> </w:t>
      </w:r>
      <w:hyperlink r:id="rId64">
        <w:r>
          <w:rPr>
            <w:rStyle w:val="Hyperlink"/>
          </w:rPr>
          <w:t xml:space="preserve">Methods for the thematic synthesis of qualitative research in systematic reviews</w:t>
        </w:r>
      </w:hyperlink>
      <w:r>
        <w:t xml:space="preserve">. BMC Medical Research Methodology 8:45</w:t>
      </w:r>
    </w:p>
    <w:bookmarkEnd w:id="65"/>
    <w:bookmarkStart w:id="66"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6"/>
    <w:bookmarkStart w:id="68"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7">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8"/>
    <w:bookmarkStart w:id="70"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9">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0"/>
    <w:bookmarkStart w:id="71"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1"/>
    <w:bookmarkStart w:id="73"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3"/>
    <w:bookmarkStart w:id="75"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4">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5"/>
    <w:bookmarkStart w:id="76"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6"/>
    <w:bookmarkStart w:id="78"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7">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8"/>
    <w:bookmarkStart w:id="80"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9">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0"/>
    <w:bookmarkStart w:id="82"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1">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2"/>
    <w:bookmarkStart w:id="84" w:name="ref-pradyAssessingUtilityStandards2007"/>
    <w:p>
      <w:pPr>
        <w:pStyle w:val="Bibliography"/>
      </w:pPr>
      <w:r>
        <w:t xml:space="preserve">17.</w:t>
      </w:r>
      <w:r>
        <w:t xml:space="preserve"> </w:t>
      </w:r>
      <w:r>
        <w:t xml:space="preserve">	</w:t>
      </w:r>
      <w:r>
        <w:t xml:space="preserve">Prady SL, MacPherson H (2007)</w:t>
      </w:r>
      <w:r>
        <w:t xml:space="preserve"> </w:t>
      </w:r>
      <w:hyperlink r:id="rId8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4"/>
    <w:bookmarkStart w:id="86"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5">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6"/>
    <w:bookmarkStart w:id="88"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7">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8"/>
    <w:bookmarkStart w:id="90"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9">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0"/>
    <w:bookmarkStart w:id="91"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1"/>
    <w:bookmarkStart w:id="92"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2"/>
    <w:bookmarkStart w:id="94"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3">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4"/>
    <w:bookmarkStart w:id="96" w:name="ref-tamPerceptionPreferredReporting2019"/>
    <w:p>
      <w:pPr>
        <w:pStyle w:val="Bibliography"/>
      </w:pPr>
      <w:r>
        <w:t xml:space="preserve">24.</w:t>
      </w:r>
      <w:r>
        <w:t xml:space="preserve"> </w:t>
      </w:r>
      <w:r>
        <w:t xml:space="preserve">	</w:t>
      </w:r>
      <w:r>
        <w:t xml:space="preserve">Tam WWS, Tang A, Woo B, Goh SYS (2019)</w:t>
      </w:r>
      <w:r>
        <w:t xml:space="preserve"> </w:t>
      </w:r>
      <w:hyperlink r:id="rId95">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6"/>
    <w:bookmarkStart w:id="98"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7">
        <w:r>
          <w:rPr>
            <w:rStyle w:val="Hyperlink"/>
          </w:rPr>
          <w:t xml:space="preserve">Describing reporting guidelines for health research: A systematic review</w:t>
        </w:r>
      </w:hyperlink>
      <w:r>
        <w:t xml:space="preserve">. Journal of Clinical Epidemiology 64:718–742</w:t>
      </w:r>
    </w:p>
    <w:bookmarkEnd w:id="98"/>
    <w:bookmarkStart w:id="100"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9">
        <w:r>
          <w:rPr>
            <w:rStyle w:val="Hyperlink"/>
          </w:rPr>
          <w:t xml:space="preserve">Guidance for developers of health research reporting guidelines</w:t>
        </w:r>
      </w:hyperlink>
      <w:r>
        <w:t xml:space="preserve">. PLOS Medicine 7:e1000217</w:t>
      </w:r>
    </w:p>
    <w:bookmarkEnd w:id="100"/>
    <w:bookmarkStart w:id="101"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1"/>
    <w:bookmarkStart w:id="102" w:name="ref-SinoMed"/>
    <w:p>
      <w:pPr>
        <w:pStyle w:val="Bibliography"/>
      </w:pPr>
      <w:r>
        <w:t xml:space="preserve">28.</w:t>
      </w:r>
      <w:r>
        <w:t xml:space="preserve"> </w:t>
      </w:r>
      <w:r>
        <w:t xml:space="preserve">	</w:t>
      </w:r>
      <w:r>
        <w:t xml:space="preserve">SinoMed</w:t>
      </w:r>
      <w:r>
        <w:t xml:space="preserve">.</w:t>
      </w:r>
      <w:r>
        <w:t xml:space="preserve"> </w:t>
      </w:r>
    </w:p>
    <w:bookmarkEnd w:id="102"/>
    <w:bookmarkStart w:id="103"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3"/>
    <w:bookmarkStart w:id="104"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4"/>
    <w:bookmarkStart w:id="105"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5"/>
    <w:bookmarkStart w:id="106"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6"/>
    <w:bookmarkStart w:id="107"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7"/>
    <w:bookmarkStart w:id="108"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8"/>
    <w:bookmarkStart w:id="109"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9"/>
    <w:bookmarkStart w:id="110"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0"/>
    <w:bookmarkStart w:id="111"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1"/>
    <w:bookmarkStart w:id="112"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2"/>
    <w:bookmarkStart w:id="113"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3"/>
    <w:bookmarkStart w:id="115"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4">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5"/>
    <w:bookmarkStart w:id="116"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6"/>
    <w:bookmarkStart w:id="118"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7">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a72ba16</dc:creator>
  <cp:keywords/>
  <dcterms:created xsi:type="dcterms:W3CDTF">2023-10-24T09:56:12Z</dcterms:created>
  <dcterms:modified xsi:type="dcterms:W3CDTF">2023-10-24T09:56:12Z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