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 (left, not bold), descriptive themes (bold), and analytic themes (right)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Table 1: Codes (left, not bold), descriptive themes (bold), and analytic themes (right)"/>
      </w:tblPr>
      <w:tblGrid>
        <w:gridCol w:w="5222"/>
        <w:gridCol w:w="2697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Descriptive themes</w:t>
            </w:r>
          </w:p>
          <w:p>
            <w:pPr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 Themes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does this mean?</w:t>
            </w:r>
          </w:p>
          <w:p>
            <w:pPr>
              <w:jc w:val="left"/>
            </w:pPr>
            <w:r>
              <w:t xml:space="preserve">What does this term mean?</w:t>
            </w:r>
            <w:r>
              <w:t xml:space="preserve">[1–5]</w:t>
            </w:r>
          </w:p>
          <w:p>
            <w:pPr>
              <w:jc w:val="left"/>
            </w:pP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t xml:space="preserve">How are these items different?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Why is this item important?</w:t>
            </w:r>
          </w:p>
          <w:p>
            <w:pPr>
              <w:jc w:val="left"/>
            </w:pP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</w:p>
          <w:p>
            <w:pPr>
              <w:jc w:val="left"/>
            </w:pP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  <w:p>
            <w:pPr>
              <w:jc w:val="left"/>
            </w:pP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</w:p>
          <w:p>
            <w:pPr>
              <w:jc w:val="left"/>
            </w:pP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 not understand what reporting guidelines are</w:t>
            </w:r>
          </w:p>
          <w:p>
            <w:pPr>
              <w:jc w:val="left"/>
            </w:pP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understand the guidance as intended, or what reporting guidelines are, even if they think they do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benefit me</w:t>
            </w:r>
          </w:p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</w:p>
          <w:p>
            <w:pPr>
              <w:jc w:val="left"/>
            </w:pP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use guidelines because of other people</w:t>
            </w:r>
          </w:p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benefit others</w:t>
            </w:r>
          </w:p>
          <w:p>
            <w:pPr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  <w:p>
            <w:pPr>
              <w:jc w:val="left"/>
            </w:pP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</w:p>
          <w:p>
            <w:pPr>
              <w:jc w:val="left"/>
            </w:pP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a variety of reasons for using reporting guidelines, and that some are more important than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Researchers use reporting guidelines for different tasks</w:t>
            </w:r>
          </w:p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  <w:p>
            <w:pPr>
              <w:jc w:val="left"/>
            </w:pP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</w:t>
            </w:r>
          </w:p>
          <w:p>
            <w:pPr>
              <w:jc w:val="left"/>
            </w:pP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</w:p>
          <w:p>
            <w:pPr>
              <w:jc w:val="left"/>
            </w:pP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using reporting guidelines for different tasks and wanting guidance to be delivered in ways that better fit their needs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take time</w:t>
            </w:r>
          </w:p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</w:p>
          <w:p>
            <w:pPr>
              <w:jc w:val="left"/>
            </w:pP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</w:p>
          <w:p>
            <w:pPr>
              <w:jc w:val="left"/>
            </w:pP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  <w:p>
            <w:pPr>
              <w:jc w:val="left"/>
            </w:pPr>
            <w:r>
              <w:t xml:space="preserve">Itemization helps me navigate guidance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summarizes the guidance</w:t>
            </w:r>
            <w: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  <w:p>
            <w:pPr>
              <w:jc w:val="left"/>
            </w:pPr>
            <w:r>
              <w:t xml:space="preserve">Itemization makes guidance appear longer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blocks the bigger picture</w:t>
            </w:r>
            <w: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  <w:p>
            <w:pPr>
              <w:jc w:val="left"/>
            </w:pP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</w:p>
          <w:p>
            <w:pPr>
              <w:jc w:val="left"/>
            </w:pP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</w:p>
          <w:p>
            <w:pPr>
              <w:jc w:val="left"/>
            </w:pP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  <w:p>
            <w:pPr>
              <w:jc w:val="left"/>
            </w:pP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balance of benefits vs costs may be more favourable when guidelines are used early</w:t>
            </w:r>
          </w:p>
          <w:p>
            <w:pPr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reporting guidelines has costs, and researchers may not feel that benefits outweigh the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  <w:p>
            <w:pPr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</w:p>
          <w:p>
            <w:pPr>
              <w:jc w:val="left"/>
            </w:pP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</w:p>
          <w:p>
            <w:pPr>
              <w:jc w:val="left"/>
            </w:pP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  <w:p>
            <w:pPr>
              <w:jc w:val="left"/>
            </w:pP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</w:p>
          <w:p>
            <w:pPr>
              <w:jc w:val="left"/>
            </w:pP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need to be revised and updated for different reasons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  <w:p>
            <w:pPr>
              <w:jc w:val="left"/>
            </w:pPr>
            <w:r>
              <w:t xml:space="preserve">I cannot report this because I didn’t do it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</w:p>
          <w:p>
            <w:pPr>
              <w:jc w:val="left"/>
            </w:pP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  <w:p>
            <w:pPr>
              <w:jc w:val="left"/>
            </w:pP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be able to report all items which can leave them feeling uncertain or worried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 only use what I know about and have</w:t>
            </w:r>
          </w:p>
          <w:p>
            <w:pPr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 and accessibility may limit reporting guideline usage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  <w:p>
            <w:pPr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</w:p>
          <w:p>
            <w:pPr>
              <w:jc w:val="left"/>
            </w:pP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</w:p>
          <w:p>
            <w:pPr>
              <w:jc w:val="left"/>
            </w:pP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  <w:p>
            <w:pPr>
              <w:jc w:val="left"/>
            </w:pP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be more useful to less experienced researchers, but less experienced researchers may find them harder to use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  <w:p>
            <w:pPr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</w:p>
          <w:p>
            <w:pPr>
              <w:jc w:val="left"/>
            </w:pP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  <w:p>
            <w:pPr>
              <w:jc w:val="left"/>
            </w:pP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want or need design advice, but reporting guidelines may not be the right place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A guideline’s scope can be unclear</w:t>
            </w:r>
          </w:p>
          <w:p>
            <w:pPr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 can be too narrow</w:t>
            </w:r>
          </w:p>
          <w:p>
            <w:pPr>
              <w:jc w:val="left"/>
            </w:pP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guideline’s scope can be too broad</w:t>
            </w:r>
          </w:p>
          <w:p>
            <w:pPr>
              <w:jc w:val="left"/>
            </w:pP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can be harder to use if their scope is too broad, too narrow, or poorly defined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often need to adhere to multiple sets of guidance</w:t>
            </w:r>
          </w:p>
          <w:p>
            <w:pPr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</w:p>
          <w:p>
            <w:pPr>
              <w:jc w:val="left"/>
            </w:pP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guidelines to harmonize</w:t>
            </w:r>
          </w:p>
          <w:p>
            <w:pPr>
              <w:jc w:val="left"/>
            </w:pP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</w:p>
          <w:p>
            <w:pPr>
              <w:jc w:val="left"/>
            </w:pP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have to use multiple sets of reporting guidelines, multiplying complexity and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experience reporting guidelines primarily as, or through, checklists</w:t>
            </w:r>
          </w:p>
          <w:p>
            <w:pPr>
              <w:jc w:val="left"/>
            </w:pPr>
            <w:r>
              <w:t xml:space="preserve">I don’t like checklists</w:t>
            </w:r>
            <w:r>
              <w:t xml:space="preserve">[5, 7, 11, 14]</w:t>
            </w:r>
          </w:p>
          <w:p>
            <w:pPr>
              <w:jc w:val="left"/>
            </w:pP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use checklists but never read the full guidance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2023-12-22T18:00:19Z</dcterms:created>
  <dcterms:modified xsi:type="dcterms:W3CDTF">2023-12-22T18:00:19Z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