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tbl-codes"/>
    <w:p>
      <w:pPr>
        <w:pStyle w:val="TableCaption"/>
      </w:pPr>
      <w:r>
        <w:t xml:space="preserve">Table 1: Codes, descriptive themes, and analytic themes</w:t>
      </w:r>
    </w:p>
    <w:tbl>
      <w:tblPr>
        <w:tblStyle w:val="Table"/>
        <w:tblW w:type="pct" w:w="4990"/>
        <w:tblLook w:firstRow="1" w:lastRow="0" w:firstColumn="0" w:lastColumn="0" w:noHBand="0" w:noVBand="0" w:val="0020"/>
        <w:jc w:val="start"/>
        <w:tblCaption w:val="Table 1: Codes, descriptive themes, and analytic themes"/>
      </w:tblPr>
      <w:tblGrid>
        <w:gridCol w:w="4339"/>
        <w:gridCol w:w="1379"/>
        <w:gridCol w:w="2185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Analytic theme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What does this term mean?</w:t>
            </w:r>
            <w:r>
              <w:t xml:space="preserve"> </w:t>
            </w:r>
            <w:r>
              <w:t xml:space="preserve">[1–5]</w:t>
            </w:r>
            <w:r>
              <w:t xml:space="preserve"> </w:t>
            </w:r>
            <w:r>
              <w:t xml:space="preserve">| What does this mean? | Researchers may not understand the guidance as intended, or what reporting guidelines are, even if they think they do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What does this item mean?</w:t>
            </w:r>
            <w:r>
              <w:t xml:space="preserve"> </w:t>
            </w:r>
            <w:r>
              <w:t xml:space="preserve">[1–6]</w:t>
            </w:r>
            <w:r>
              <w:t xml:space="preserve"> </w:t>
            </w:r>
            <w:r>
              <w:t xml:space="preserve">| Why is this item important?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How are these items different?</w:t>
            </w:r>
            <w:r>
              <w:t xml:space="preserve">[2, 4, 6, 7]</w:t>
            </w:r>
            <w:r>
              <w:t xml:space="preserve"> </w:t>
            </w:r>
            <w:r>
              <w:t xml:space="preserve">| Does this apply to me?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Have I understood this as intended?</w:t>
            </w:r>
            <w:r>
              <w:t xml:space="preserve"> </w:t>
            </w:r>
            <w:r>
              <w:t xml:space="preserve">[1, 2]</w:t>
            </w:r>
            <w:r>
              <w:t xml:space="preserve"> </w:t>
            </w:r>
            <w:r>
              <w:t xml:space="preserve">| I don’t understand what reporting guidelines are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Examples help me understand items</w:t>
            </w:r>
            <w:r>
              <w:t xml:space="preserve"> </w:t>
            </w:r>
            <w:r>
              <w:t xml:space="preserve">[4, 8, 9]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Why is this item important?</w:t>
            </w:r>
            <w:r>
              <w:t xml:space="preserve"> </w:t>
            </w:r>
            <w:r>
              <w:t xml:space="preserve">[2–4, 10]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Who is this item important to?</w:t>
            </w:r>
            <w:r>
              <w:t xml:space="preserve"> </w:t>
            </w:r>
            <w:r>
              <w:t xml:space="preserve">[2, 4, 11]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Have I understood the guideline’s scope as intended?</w:t>
            </w:r>
            <w:r>
              <w:t xml:space="preserve"> </w:t>
            </w:r>
            <w:r>
              <w:t xml:space="preserve">[4, 5]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Does this item apply to me?</w:t>
            </w:r>
            <w:r>
              <w:t xml:space="preserve"> </w:t>
            </w:r>
            <w:r>
              <w:t xml:space="preserve">[2, 4–7]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Is this item optional?</w:t>
            </w:r>
            <w:r>
              <w:t xml:space="preserve"> </w:t>
            </w:r>
            <w:r>
              <w:t xml:space="preserve">[2, 6]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What are reporting guidelines?</w:t>
            </w:r>
            <w:r>
              <w:t xml:space="preserve"> </w:t>
            </w:r>
            <w:r>
              <w:t xml:space="preserve">[11, 12]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How should I use a reporting guideline?</w:t>
            </w:r>
            <w:r>
              <w:t xml:space="preserve"> </w:t>
            </w:r>
            <w:r>
              <w:t xml:space="preserve">[13]</w:t>
            </w:r>
            <w:r>
              <w:t xml:space="preserve"> </w:t>
            </w:r>
            <w:r>
              <w:t xml:space="preserve">| | |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I find guidelines useful in general</w:t>
            </w:r>
            <w:r>
              <w:t xml:space="preserve"> </w:t>
            </w:r>
            <w:r>
              <w:t xml:space="preserve">[5, 14]</w:t>
            </w:r>
            <w:r>
              <w:t xml:space="preserve"> </w:t>
            </w:r>
            <w:r>
              <w:t xml:space="preserve">| Guidelines benefit me | Researchers report a variety of reasons for using reporting guidelines, and that some are more important than others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Guidelines make me feel confident</w:t>
            </w:r>
            <w:r>
              <w:t xml:space="preserve"> </w:t>
            </w:r>
            <w:r>
              <w:t xml:space="preserve">[11]</w:t>
            </w:r>
            <w:r>
              <w:t xml:space="preserve"> </w:t>
            </w:r>
            <w:r>
              <w:t xml:space="preserve">| I use guidelines because of other people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Guidelines help me develop as a researcher</w:t>
            </w:r>
            <w:r>
              <w:t xml:space="preserve"> </w:t>
            </w:r>
            <w:r>
              <w:t xml:space="preserve">[11, 15]</w:t>
            </w:r>
            <w:r>
              <w:t xml:space="preserve"> </w:t>
            </w:r>
            <w:r>
              <w:t xml:space="preserve">| Guidelines benefit others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Guidelines may help me improve my manuscript</w:t>
            </w:r>
            <w:r>
              <w:t xml:space="preserve"> </w:t>
            </w:r>
            <w:r>
              <w:t xml:space="preserve">[2, 7, 11, 14, 15]</w:t>
            </w:r>
            <w:r>
              <w:t xml:space="preserve"> </w:t>
            </w:r>
            <w:r>
              <w:t xml:space="preserve">| Some benefits are more important than others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believe guidelines may help me publish more easily</w:t>
            </w:r>
            <w:r>
              <w:t xml:space="preserve"> </w:t>
            </w:r>
            <w:r>
              <w:t xml:space="preserve">[16]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may use guidelines because journals and editors tell me to</w:t>
            </w:r>
            <w:r>
              <w:t xml:space="preserve"> </w:t>
            </w:r>
            <w:r>
              <w:t xml:space="preserve">[11, 13, 15, 16]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may use guidelines because other researchers expect it</w:t>
            </w:r>
            <w:r>
              <w:t xml:space="preserve"> </w:t>
            </w:r>
            <w:r>
              <w:t xml:space="preserve">[13, 16]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Standardized reporting benefits the community</w:t>
            </w:r>
            <w:r>
              <w:t xml:space="preserve"> </w:t>
            </w:r>
            <w:r>
              <w:t xml:space="preserve">[11, 16, 17]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Immediate benefits are more important than hypothetical ones</w:t>
            </w:r>
            <w:r>
              <w:t xml:space="preserve"> </w:t>
            </w:r>
            <w:r>
              <w:t xml:space="preserve">[11, 16]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Personal benefits are more important than benefits to others</w:t>
            </w:r>
            <w:r>
              <w:t xml:space="preserve"> </w:t>
            </w:r>
            <w:r>
              <w:t xml:space="preserve">[16]</w:t>
            </w:r>
            <w:r>
              <w:t xml:space="preserve"> </w:t>
            </w:r>
            <w:r>
              <w:t xml:space="preserve">| | |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I use reporting guidelines for planning research</w:t>
            </w:r>
            <w:r>
              <w:t xml:space="preserve"> </w:t>
            </w:r>
            <w:r>
              <w:t xml:space="preserve">[2, 11]</w:t>
            </w:r>
            <w:r>
              <w:t xml:space="preserve"> </w:t>
            </w:r>
            <w:r>
              <w:t xml:space="preserve">| Researchers use reporting guidelines for different tasks | Researchers report using reporting guidelines for different tasks and wanting guidance to be delivered in ways that better fit their needs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use reporting guidelines for designing research</w:t>
            </w:r>
            <w:r>
              <w:t xml:space="preserve"> </w:t>
            </w:r>
            <w:r>
              <w:t xml:space="preserve">[6, 11, 12, 14]</w:t>
            </w:r>
            <w:r>
              <w:t xml:space="preserve"> </w:t>
            </w:r>
            <w:r>
              <w:t xml:space="preserve">| I want guidance presented in formats that are better suited to the task I am doing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use reporting guidelines for writing</w:t>
            </w:r>
            <w:r>
              <w:t xml:space="preserve"> </w:t>
            </w:r>
            <w:r>
              <w:t xml:space="preserve">[2, 6, 11, 14]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use reporting guidelines for checking my own or other people’s writing</w:t>
            </w:r>
            <w:r>
              <w:t xml:space="preserve"> </w:t>
            </w:r>
            <w:r>
              <w:t xml:space="preserve">[11, 12]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use reporting guidelines to appraise the quality of other people’s reporting</w:t>
            </w:r>
            <w:r>
              <w:t xml:space="preserve"> </w:t>
            </w:r>
            <w:r>
              <w:t xml:space="preserve">[3]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use reporting guidelines for peer reviewing</w:t>
            </w:r>
            <w:r>
              <w:t xml:space="preserve"> </w:t>
            </w:r>
            <w:r>
              <w:t xml:space="preserve">[11]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want items presented in the order in which I must do them [;</w:t>
            </w:r>
            <w:r>
              <w:t xml:space="preserve"> </w:t>
            </w:r>
            <w:r>
              <w:t xml:space="preserve">[17]</w:t>
            </w:r>
            <w:r>
              <w:t xml:space="preserve">;</w:t>
            </w:r>
            <w:r>
              <w:t xml:space="preserve"> </w:t>
            </w:r>
            <w:r>
              <w:t xml:space="preserve">[9]</w:t>
            </w:r>
            <w:r>
              <w:t xml:space="preserve">] 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want design or methods advice</w:t>
            </w:r>
            <w:r>
              <w:t xml:space="preserve"> </w:t>
            </w:r>
            <w:r>
              <w:t xml:space="preserve">[2, 4, 11]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want templates for writing</w:t>
            </w:r>
            <w:r>
              <w:t xml:space="preserve"> </w:t>
            </w:r>
            <w:r>
              <w:t xml:space="preserve">[14]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want checklists that are easy to fill in</w:t>
            </w:r>
            <w:r>
              <w:t xml:space="preserve"> </w:t>
            </w:r>
            <w:r>
              <w:t xml:space="preserve">[5, 18]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want checklists embedded into journal submission workflows</w:t>
            </w:r>
            <w:r>
              <w:t xml:space="preserve"> </w:t>
            </w:r>
            <w:r>
              <w:t xml:space="preserve">[14]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want items embedded into data collection tools</w:t>
            </w:r>
            <w:r>
              <w:t xml:space="preserve"> </w:t>
            </w:r>
            <w:r>
              <w:t xml:space="preserve">[15]</w:t>
            </w:r>
            <w:r>
              <w:t xml:space="preserve"> </w:t>
            </w:r>
            <w:r>
              <w:t xml:space="preserve">| | |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Guidelines take time to read, understand and apply</w:t>
            </w:r>
            <w:r>
              <w:t xml:space="preserve"> </w:t>
            </w:r>
            <w:r>
              <w:t xml:space="preserve">[13, 15, 16]</w:t>
            </w:r>
            <w:r>
              <w:t xml:space="preserve"> </w:t>
            </w:r>
            <w:r>
              <w:t xml:space="preserve">| Guidelines take time | Using reporting guidelines has costs, and researchers may not feel that benefits outweigh the costs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Some items require extra work which takes time and effort</w:t>
            </w:r>
            <w:r>
              <w:t xml:space="preserve"> </w:t>
            </w:r>
            <w:r>
              <w:t xml:space="preserve">[1, 2, 19]</w:t>
            </w:r>
            <w:r>
              <w:t xml:space="preserve"> </w:t>
            </w:r>
            <w:r>
              <w:t xml:space="preserve">| Itemization may decrease costs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want an indication of which items to prioritize</w:t>
            </w:r>
            <w:r>
              <w:t xml:space="preserve"> </w:t>
            </w:r>
            <w:r>
              <w:t xml:space="preserve">[2, 6]</w:t>
            </w:r>
            <w:r>
              <w:t xml:space="preserve"> </w:t>
            </w:r>
            <w:r>
              <w:t xml:space="preserve">| Itemization may increase perceived costs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Perceived complexity</w:t>
            </w:r>
            <w:r>
              <w:t xml:space="preserve"> </w:t>
            </w:r>
            <w:r>
              <w:t xml:space="preserve">[2, 14, 16, 18]</w:t>
            </w:r>
            <w:r>
              <w:t xml:space="preserve"> </w:t>
            </w:r>
            <w:r>
              <w:t xml:space="preserve">| I think guidelines make my manuscripts long and bloated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Long guidelines are off-putting</w:t>
            </w:r>
            <w:r>
              <w:t xml:space="preserve"> </w:t>
            </w:r>
            <w:r>
              <w:t xml:space="preserve">[5, 7, 11, 15]</w:t>
            </w:r>
            <w:r>
              <w:t xml:space="preserve"> </w:t>
            </w:r>
            <w:r>
              <w:t xml:space="preserve">| The benefits of using a reporting guideline may not outweigh the costs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Itemization helps me navigate guidance</w:t>
            </w:r>
            <w:r>
              <w:t xml:space="preserve">[4]</w:t>
            </w:r>
            <w:r>
              <w:t xml:space="preserve"> </w:t>
            </w:r>
            <w:r>
              <w:t xml:space="preserve">| The balance of benefits vs costs may be more favourable when guidelines are used early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Itemization summarizes the guidance</w:t>
            </w:r>
            <w:r>
              <w:t xml:space="preserve">[14]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Itemization makes guidance appear longer</w:t>
            </w:r>
            <w:r>
              <w:t xml:space="preserve">[4]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Itemization blocks the bigger picture</w:t>
            </w:r>
            <w:r>
              <w:t xml:space="preserve">[2]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Following reporting guidance can result in long, bloated articles</w:t>
            </w:r>
            <w:r>
              <w:t xml:space="preserve"> </w:t>
            </w:r>
            <w:r>
              <w:t xml:space="preserve">[2, 6, 7, 15]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Long, bloated articles may exceed journal word limits</w:t>
            </w:r>
            <w:r>
              <w:t xml:space="preserve"> </w:t>
            </w:r>
            <w:r>
              <w:t xml:space="preserve">[6, 7, 13, 18]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want options for where to report this item</w:t>
            </w:r>
            <w:r>
              <w:t xml:space="preserve"> </w:t>
            </w:r>
            <w:r>
              <w:t xml:space="preserve">[1, 2, 4, 7, 11, 13]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The benefits of using a reporting guideline may not outweigh the costs</w:t>
            </w:r>
            <w:r>
              <w:t xml:space="preserve"> </w:t>
            </w:r>
            <w:r>
              <w:t xml:space="preserve">[7, 11, 13]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Guidelines are more valuable when used early</w:t>
            </w:r>
            <w:r>
              <w:t xml:space="preserve"> </w:t>
            </w:r>
            <w:r>
              <w:t xml:space="preserve">[2, 5, 11, 14]</w:t>
            </w:r>
            <w:r>
              <w:t xml:space="preserve"> </w:t>
            </w:r>
            <w:r>
              <w:t xml:space="preserve">| | |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I would clarify this item</w:t>
            </w:r>
            <w:r>
              <w:t xml:space="preserve"> </w:t>
            </w:r>
            <w:r>
              <w:t xml:space="preserve">[4, 6]</w:t>
            </w:r>
            <w:r>
              <w:t xml:space="preserve"> </w:t>
            </w:r>
            <w:r>
              <w:t xml:space="preserve">| I think the guidance could be improved | Reporting guidelines may need to be revised and updated for different reasons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would move this item</w:t>
            </w:r>
            <w:r>
              <w:t xml:space="preserve"> </w:t>
            </w:r>
            <w:r>
              <w:t xml:space="preserve">[1, 2]</w:t>
            </w:r>
            <w:r>
              <w:t xml:space="preserve"> </w:t>
            </w:r>
            <w:r>
              <w:t xml:space="preserve">| Guidelines need to be kept updated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would split this item into two</w:t>
            </w:r>
            <w:r>
              <w:t xml:space="preserve"> </w:t>
            </w:r>
            <w:r>
              <w:t xml:space="preserve">[2, 4, 9]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would add or remove items from this guideline</w:t>
            </w:r>
            <w:r>
              <w:t xml:space="preserve"> </w:t>
            </w:r>
            <w:r>
              <w:t xml:space="preserve">[2–4, 6]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would add or remove requirements from this item</w:t>
            </w:r>
            <w:r>
              <w:t xml:space="preserve"> </w:t>
            </w:r>
            <w:r>
              <w:t xml:space="preserve">[4, 6, 8, 10, 11]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Guidelines can become out of date</w:t>
            </w:r>
            <w:r>
              <w:t xml:space="preserve"> </w:t>
            </w:r>
            <w:r>
              <w:t xml:space="preserve">[2]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Guidelines need to be updated</w:t>
            </w:r>
            <w:r>
              <w:t xml:space="preserve"> </w:t>
            </w:r>
            <w:r>
              <w:t xml:space="preserve">[4]</w:t>
            </w:r>
            <w:r>
              <w:t xml:space="preserve"> </w:t>
            </w:r>
            <w:r>
              <w:t xml:space="preserve">| | |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I cannot report this because I didn’t do it | I feel unable to report this | Researchers may not be able to report all items which can leave them feeling uncertain or worried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[2, 4, 6, 7]</w:t>
            </w:r>
            <w:r>
              <w:t xml:space="preserve"> </w:t>
            </w:r>
            <w:r>
              <w:t xml:space="preserve">| I feel nervous or uncertain if I am unable to report an item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cannot report this because of intellectual property issues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[7]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cannot report this because it clashes with journal guidelines</w:t>
            </w:r>
            <w:r>
              <w:t xml:space="preserve"> </w:t>
            </w:r>
            <w:r>
              <w:t xml:space="preserve">[4]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cannot report this because data was missing from my primary studies</w:t>
            </w:r>
            <w:r>
              <w:t xml:space="preserve"> </w:t>
            </w:r>
            <w:r>
              <w:t xml:space="preserve">[15]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Editors, reviewers or co-authors asked me to remove this item</w:t>
            </w:r>
            <w:r>
              <w:t xml:space="preserve"> </w:t>
            </w:r>
            <w:r>
              <w:t xml:space="preserve">[6, 19]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feel uncertain because I don’t know how to say that I didn’t do it</w:t>
            </w:r>
            <w:r>
              <w:t xml:space="preserve"> </w:t>
            </w:r>
            <w:r>
              <w:t xml:space="preserve">[4]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feel worried that I will be judged for transparently reporting something I didn’t do</w:t>
            </w:r>
            <w:r>
              <w:t xml:space="preserve"> </w:t>
            </w:r>
            <w:r>
              <w:t xml:space="preserve">[4, 11]</w:t>
            </w:r>
            <w:r>
              <w:t xml:space="preserve"> </w:t>
            </w:r>
            <w:r>
              <w:t xml:space="preserve">| | |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I may not know that reporting guidelines exist, or what guidance exists</w:t>
            </w:r>
            <w:r>
              <w:t xml:space="preserve"> </w:t>
            </w:r>
            <w:r>
              <w:t xml:space="preserve">[3, 5, 13, 14, 16]</w:t>
            </w:r>
            <w:r>
              <w:t xml:space="preserve"> </w:t>
            </w:r>
            <w:r>
              <w:t xml:space="preserve">| I can only use what I know about and have | Awareness and accessibility may limit reporting guideline usage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may not be able to easily access guidance</w:t>
            </w:r>
            <w:r>
              <w:t xml:space="preserve"> </w:t>
            </w:r>
            <w:r>
              <w:t xml:space="preserve">[5, 16]</w:t>
            </w:r>
            <w:r>
              <w:t xml:space="preserve"> </w:t>
            </w:r>
            <w:r>
              <w:t xml:space="preserve">| | |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Reporting guidelines may be less valuable to experienced researchers</w:t>
            </w:r>
            <w:r>
              <w:t xml:space="preserve"> </w:t>
            </w:r>
            <w:r>
              <w:t xml:space="preserve">[7, 11, 14]</w:t>
            </w:r>
            <w:r>
              <w:t xml:space="preserve"> </w:t>
            </w:r>
            <w:r>
              <w:t xml:space="preserve">| Reporting guidelines are more valuable to inexperienced researchers | Reporting guidelines may be more useful to less experienced researchers, but less experienced researchers may find them harder to use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Experienced researchers feel that they already know how to report</w:t>
            </w:r>
            <w:r>
              <w:t xml:space="preserve"> </w:t>
            </w:r>
            <w:r>
              <w:t xml:space="preserve">[2, 11, 14]</w:t>
            </w:r>
            <w:r>
              <w:t xml:space="preserve"> </w:t>
            </w:r>
            <w:r>
              <w:t xml:space="preserve">| Reporting guidelines can be hard to use at first but get easier with experience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Experienced researchers find guidance patronizing and feel untrusted</w:t>
            </w:r>
            <w:r>
              <w:t xml:space="preserve"> </w:t>
            </w:r>
            <w:r>
              <w:t xml:space="preserve">[4, 7, 13, 18]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Reporting guidelines can be hard to use at first but get easier with experience</w:t>
            </w:r>
            <w:r>
              <w:t xml:space="preserve"> </w:t>
            </w:r>
            <w:r>
              <w:t xml:space="preserve">[2, 13, 16]</w:t>
            </w:r>
            <w:r>
              <w:t xml:space="preserve"> </w:t>
            </w:r>
            <w:r>
              <w:t xml:space="preserve">| | |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I want design or methodological advice</w:t>
            </w:r>
            <w:r>
              <w:t xml:space="preserve"> </w:t>
            </w:r>
            <w:r>
              <w:t xml:space="preserve">[4, 11, 18]</w:t>
            </w:r>
            <w:r>
              <w:t xml:space="preserve"> </w:t>
            </w:r>
            <w:r>
              <w:t xml:space="preserve">| I want or need design advice | Researchers want or need design advice, but reporting guidelines may not be the right place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don’t know how to do this item</w:t>
            </w:r>
            <w:r>
              <w:t xml:space="preserve"> </w:t>
            </w:r>
            <w:r>
              <w:t xml:space="preserve">[2, 4, 6]</w:t>
            </w:r>
            <w:r>
              <w:t xml:space="preserve"> </w:t>
            </w:r>
            <w:r>
              <w:t xml:space="preserve">| I think this guidance prescribes how research should be designed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Guidelines are procedural straightjackets</w:t>
            </w:r>
            <w:r>
              <w:t xml:space="preserve"> </w:t>
            </w:r>
            <w:r>
              <w:t xml:space="preserve">[11]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This guideline is too prescriptive</w:t>
            </w:r>
            <w:r>
              <w:t xml:space="preserve"> </w:t>
            </w:r>
            <w:r>
              <w:t xml:space="preserve">[4, 10, 11]</w:t>
            </w:r>
            <w:r>
              <w:t xml:space="preserve"> </w:t>
            </w:r>
            <w:r>
              <w:t xml:space="preserve">| | |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The guideline’s applicability criteria are not clear</w:t>
            </w:r>
            <w:r>
              <w:t xml:space="preserve"> </w:t>
            </w:r>
            <w:r>
              <w:t xml:space="preserve">[3, 5, 14]</w:t>
            </w:r>
            <w:r>
              <w:t xml:space="preserve"> </w:t>
            </w:r>
            <w:r>
              <w:t xml:space="preserve">| A guideline’s scope can be unclear | Reporting guidelines can be harder to use if their scope is too broad, too narrow, or poorly defined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This guideline isn’t a perfect fit for me</w:t>
            </w:r>
            <w:r>
              <w:t xml:space="preserve"> </w:t>
            </w:r>
            <w:r>
              <w:t xml:space="preserve">[5]</w:t>
            </w:r>
            <w:r>
              <w:t xml:space="preserve"> </w:t>
            </w:r>
            <w:r>
              <w:t xml:space="preserve">| A guideline can be too narrow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This guideline doesn’t generalise</w:t>
            </w:r>
            <w:r>
              <w:t xml:space="preserve"> </w:t>
            </w:r>
            <w:r>
              <w:t xml:space="preserve">[4, 10, 11, 14, 18]</w:t>
            </w:r>
            <w:r>
              <w:t xml:space="preserve"> </w:t>
            </w:r>
            <w:r>
              <w:t xml:space="preserve">| A guideline’s scope can be too broad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This guideline is too prescriptive</w:t>
            </w:r>
            <w:r>
              <w:t xml:space="preserve"> </w:t>
            </w:r>
            <w:r>
              <w:t xml:space="preserve">[4, 10, 11]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don’t want to see optional items that only apply to other types of study</w:t>
            </w:r>
            <w:r>
              <w:t xml:space="preserve"> </w:t>
            </w:r>
            <w:r>
              <w:t xml:space="preserve">[5, 6]</w:t>
            </w:r>
            <w:r>
              <w:t xml:space="preserve"> </w:t>
            </w:r>
            <w:r>
              <w:t xml:space="preserve">| | |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I need to adhere to journal guidelines or other research guidelines</w:t>
            </w:r>
            <w:r>
              <w:t xml:space="preserve"> </w:t>
            </w:r>
            <w:r>
              <w:t xml:space="preserve">[4, 6, 13, 14]</w:t>
            </w:r>
            <w:r>
              <w:t xml:space="preserve"> </w:t>
            </w:r>
            <w:r>
              <w:t xml:space="preserve">| Authors often need to adhere to multiple sets of guidance | Researchers may have to use multiple sets of reporting guidelines, multiplying complexity and costs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might need to use multiple reporting guidelines</w:t>
            </w:r>
            <w:r>
              <w:t xml:space="preserve"> </w:t>
            </w:r>
            <w:r>
              <w:t xml:space="preserve">[11]</w:t>
            </w:r>
            <w:r>
              <w:t xml:space="preserve"> </w:t>
            </w:r>
            <w:r>
              <w:t xml:space="preserve">| I want guidelines to harmonize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want reporting guidelines to be linked or embedded</w:t>
            </w:r>
            <w:r>
              <w:t xml:space="preserve"> </w:t>
            </w:r>
            <w:r>
              <w:t xml:space="preserve">[3, 4]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want reporting guidelines to use similar structure</w:t>
            </w:r>
            <w:r>
              <w:t xml:space="preserve"> </w:t>
            </w:r>
            <w:r>
              <w:t xml:space="preserve">[4]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want reporting guidelines to use similar terms</w:t>
            </w:r>
            <w:r>
              <w:t xml:space="preserve"> </w:t>
            </w:r>
            <w:r>
              <w:t xml:space="preserve">[4]</w:t>
            </w:r>
            <w:r>
              <w:t xml:space="preserve"> </w:t>
            </w:r>
            <w:r>
              <w:t xml:space="preserve">| | |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I don’t like checklists</w:t>
            </w:r>
            <w:r>
              <w:t xml:space="preserve">[5, 7, 11, 14]</w:t>
            </w:r>
            <w:r>
              <w:t xml:space="preserve"> </w:t>
            </w:r>
            <w:r>
              <w:t xml:space="preserve">| I experience reporting guidelines primarily as, or through, checklists | Researchers may use checklists but never read the full guidance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may use the checklist instead of the full guidance</w:t>
            </w:r>
            <w:r>
              <w:t xml:space="preserve"> </w:t>
            </w:r>
            <w:r>
              <w:t xml:space="preserve">[8]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may use the checklist before I read the full guidance</w:t>
            </w:r>
            <w:r>
              <w:t xml:space="preserve"> </w:t>
            </w:r>
            <w:r>
              <w:t xml:space="preserve">[8]</w:t>
            </w:r>
            <w:r>
              <w:t xml:space="preserve"> </w:t>
            </w:r>
            <w:r>
              <w:t xml:space="preserve">| | |</w:t>
            </w:r>
          </w:p>
        </w:tc>
      </w:tr>
    </w:tbl>
    <w:bookmarkEnd w:id="20"/>
    <w:bookmarkStart w:id="54" w:name="refs"/>
    <w:bookmarkStart w:id="22" w:name="ref-daviesFindingsNovelApproach2016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Davies L, Donnelly KZ, Goodman DJ, Ogrinc G (2016)</w:t>
      </w:r>
      <w:r>
        <w:t xml:space="preserve"> </w:t>
      </w:r>
      <w:hyperlink r:id="rId21">
        <w:r>
          <w:rPr>
            <w:rStyle w:val="Hyperlink"/>
          </w:rPr>
          <w:t xml:space="preserve">Findings from a novel approach to publication guideline revision: User road testing of a draft version 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SQUIRE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2.0</w:t>
        </w:r>
      </w:hyperlink>
      <w:r>
        <w:t xml:space="preserve">. BMJ quality &amp; safety 25:265–272</w:t>
      </w:r>
    </w:p>
    <w:bookmarkEnd w:id="22"/>
    <w:bookmarkStart w:id="24" w:name="ref-daviesSQUIREGuidelinesEvaluation2015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Davies L, Batalden P, Davidoff F, Stevens D, Ogrinc G (2015)</w:t>
      </w:r>
      <w:r>
        <w:t xml:space="preserve"> </w:t>
      </w:r>
      <w:hyperlink r:id="rId23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SQUIRE Guidelines</w:t>
        </w:r>
        <w:r>
          <w:rPr>
            <w:rStyle w:val="Hyperlink"/>
          </w:rPr>
          <w:t xml:space="preserve">: An evaluation from the field, 5</w:t>
        </w:r>
        <w:r>
          <w:rPr>
            <w:rStyle w:val="Hyperlink"/>
          </w:rPr>
          <w:t xml:space="preserve">years post release</w:t>
        </w:r>
      </w:hyperlink>
      <w:r>
        <w:t xml:space="preserve">. BMJ quality &amp; safety 24:769–775</w:t>
      </w:r>
    </w:p>
    <w:bookmarkEnd w:id="24"/>
    <w:bookmarkStart w:id="25" w:name="Xa745f3c182cec1679b2b4fac2aeff3666166499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Korevaar DA, Cohen JF, Reitsma JB, et al (2016) Updating standards for reporting diagnostic accuracy: The development of</w:t>
      </w:r>
      <w:r>
        <w:t xml:space="preserve"> </w:t>
      </w:r>
      <w:r>
        <w:t xml:space="preserve">STARD</w:t>
      </w:r>
      <w:r>
        <w:t xml:space="preserve"> </w:t>
      </w:r>
      <w:r>
        <w:t xml:space="preserve">2015. Research integrity and peer review 1:7</w:t>
      </w:r>
    </w:p>
    <w:bookmarkEnd w:id="25"/>
    <w:bookmarkStart w:id="27" w:name="ref-pageUpdatingGuidanceReporting2021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Page MJ, McKenzie JE, Bossuyt PM, Boutron I, Hoffmann TC, Mulrow CD, Shamseer L, Tetzlaff JM, Moher D (2021)</w:t>
      </w:r>
      <w:r>
        <w:t xml:space="preserve"> </w:t>
      </w:r>
      <w:hyperlink r:id="rId26">
        <w:r>
          <w:rPr>
            <w:rStyle w:val="Hyperlink"/>
          </w:rPr>
          <w:t xml:space="preserve">Updating guidance for reporting systematic reviews: Development of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PRISMA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2020 statement</w:t>
        </w:r>
      </w:hyperlink>
      <w:r>
        <w:t xml:space="preserve">. Journal of Clinical Epidemiology 134:103–112</w:t>
      </w:r>
    </w:p>
    <w:bookmarkEnd w:id="27"/>
    <w:bookmarkStart w:id="29" w:name="X690a0f161ffd510f508077af519386febce046d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Struthers C, Harwood J, de Beyer JA, Dhiman P, Logullo P, Schlüssel M (2021)</w:t>
      </w:r>
      <w:r>
        <w:t xml:space="preserve"> </w:t>
      </w:r>
      <w:hyperlink r:id="rId28">
        <w:r>
          <w:rPr>
            <w:rStyle w:val="Hyperlink"/>
          </w:rPr>
          <w:t xml:space="preserve">GoodReports</w:t>
        </w:r>
        <w:r>
          <w:rPr>
            <w:rStyle w:val="Hyperlink"/>
          </w:rPr>
          <w:t xml:space="preserve">: Developing a website to help health researchers find and use reporting guidelines</w:t>
        </w:r>
      </w:hyperlink>
      <w:r>
        <w:t xml:space="preserve">. BMC medical research methodology 21:217</w:t>
      </w:r>
    </w:p>
    <w:bookmarkEnd w:id="29"/>
    <w:bookmarkStart w:id="31" w:name="ref-pradyAssessingUtilityStandards2007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Prady SL, MacPherson H (2007)</w:t>
      </w:r>
      <w:r>
        <w:t xml:space="preserve"> </w:t>
      </w:r>
      <w:hyperlink r:id="rId30">
        <w:r>
          <w:rPr>
            <w:rStyle w:val="Hyperlink"/>
          </w:rPr>
          <w:t xml:space="preserve">Assessing the utility of the standards for reporting trials of acupuncture (</w:t>
        </w:r>
        <w:r>
          <w:rPr>
            <w:rStyle w:val="Hyperlink"/>
          </w:rPr>
          <w:t xml:space="preserve">STRICTA</w:t>
        </w:r>
        <w:r>
          <w:rPr>
            <w:rStyle w:val="Hyperlink"/>
          </w:rPr>
          <w:t xml:space="preserve">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survey of authors</w:t>
        </w:r>
      </w:hyperlink>
      <w:r>
        <w:t xml:space="preserve">. The Journal of Alternative and Complementary Medicine 13:939–943</w:t>
      </w:r>
    </w:p>
    <w:bookmarkEnd w:id="31"/>
    <w:bookmarkStart w:id="32" w:name="Xbb8e36e9eabfc341c5b76cbb2a5772ca74c1b07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Eysenbach G. (2013)</w:t>
      </w:r>
      <w:r>
        <w:t xml:space="preserve"> </w:t>
      </w:r>
      <w:r>
        <w:t xml:space="preserve">CONSORT-EHEALTH</w:t>
      </w:r>
      <w:r>
        <w:t xml:space="preserve">: Implementation of a checklist for authors and editors to improve reporting of web-based and mobile randomized controlled trials. Studies in health technology and informatics 192:657–661</w:t>
      </w:r>
    </w:p>
    <w:bookmarkEnd w:id="32"/>
    <w:bookmarkStart w:id="34" w:name="ref-sertARRIVEGuidelinesUpdated2020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Sert NP du, Hurst V, Ahluwalia A, et al (2020)</w:t>
      </w:r>
      <w:r>
        <w:t xml:space="preserve"> </w:t>
      </w:r>
      <w:hyperlink r:id="rId33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ARRIVE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guidelines 2.0: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Updated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guidelines for reporting animal research</w:t>
        </w:r>
      </w:hyperlink>
      <w:r>
        <w:t xml:space="preserve">. PLOS Biology 18:e3000410</w:t>
      </w:r>
    </w:p>
    <w:bookmarkEnd w:id="34"/>
    <w:bookmarkStart w:id="36" w:name="ref-devriesProtocolFormatPreparation2015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de Vries RBM, Hooijmans CR, Langendam MW, van Luijk J, Leenaars M, Ritskes-Hoitinga M, Wever KE (2015)</w:t>
      </w:r>
      <w:r>
        <w:t xml:space="preserve"> </w:t>
      </w:r>
      <w:hyperlink r:id="rId35">
        <w:r>
          <w:rPr>
            <w:rStyle w:val="Hyperlink"/>
          </w:rPr>
          <w:t xml:space="preserve">A protocol format for the preparation, registration and publication of systematic reviews of animal intervention studies</w:t>
        </w:r>
      </w:hyperlink>
      <w:r>
        <w:t xml:space="preserve">. Evidence-based Preclinical Medicine 2:e00007</w:t>
      </w:r>
    </w:p>
    <w:bookmarkEnd w:id="36"/>
    <w:bookmarkStart w:id="38" w:name="ref-tamPerceptionPreferredReporting2019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Tam WWS, Tang A, Woo B, Goh SYS (2019)</w:t>
      </w:r>
      <w:r>
        <w:t xml:space="preserve"> </w:t>
      </w:r>
      <w:hyperlink r:id="rId37">
        <w:r>
          <w:rPr>
            <w:rStyle w:val="Hyperlink"/>
          </w:rPr>
          <w:t xml:space="preserve">Perception of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Preferred Reporting Items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Systematic Reviews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Meta-Analyses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</w:t>
        </w:r>
        <w:r>
          <w:rPr>
            <w:rStyle w:val="Hyperlink"/>
          </w:rPr>
          <w:t xml:space="preserve">PRISMA</w:t>
        </w:r>
        <w:r>
          <w:rPr>
            <w:rStyle w:val="Hyperlink"/>
          </w:rPr>
          <w:t xml:space="preserve">) statement of authors publishing reviews in nursing journals: A cross-sectional online survey</w:t>
        </w:r>
      </w:hyperlink>
      <w:r>
        <w:t xml:space="preserve">. BMJ Open 9:e026271</w:t>
      </w:r>
    </w:p>
    <w:bookmarkEnd w:id="38"/>
    <w:bookmarkStart w:id="39" w:name="ref-sharpOnlineSurveySTROBE2020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Sharp MK, Glonti K, Hren D (2020) Online survey about the</w:t>
      </w:r>
      <w:r>
        <w:t xml:space="preserve"> </w:t>
      </w:r>
      <w:r>
        <w:t xml:space="preserve">STROBE</w:t>
      </w:r>
      <w:r>
        <w:t xml:space="preserve"> </w:t>
      </w:r>
      <w:r>
        <w:t xml:space="preserve">statement highlighted diverging views about its content, purpose, and value. Journal of clinical epidemiology 123:100–106</w:t>
      </w:r>
    </w:p>
    <w:bookmarkEnd w:id="39"/>
    <w:bookmarkStart w:id="41" w:name="ref-pragerBarriersReportingGuideline2021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Prager R, Gagnon L, Bowdridge J, Unni RR, McGrath TA, Cobey K, Bossuyt PM, McInnes MDF (2021)</w:t>
      </w:r>
      <w:r>
        <w:t xml:space="preserve"> </w:t>
      </w:r>
      <w:hyperlink r:id="rId40">
        <w:r>
          <w:rPr>
            <w:rStyle w:val="Hyperlink"/>
          </w:rPr>
          <w:t xml:space="preserve">Barriers to reporting guideline adherence in point-of-care ultrasound research: A cross-sectional survey of authors and journal editors</w:t>
        </w:r>
      </w:hyperlink>
      <w:r>
        <w:t xml:space="preserve">. BMJ Evidence-Based Medicine bmjebm-2020-111604</w:t>
      </w:r>
    </w:p>
    <w:bookmarkEnd w:id="41"/>
    <w:bookmarkStart w:id="43" w:name="ref-fullerWhatAffectsAuthors2015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Fuller T, Pearson M, Peters J, Anderson R (2015)</w:t>
      </w:r>
      <w:r>
        <w:t xml:space="preserve"> </w:t>
      </w:r>
      <w:hyperlink r:id="rId42">
        <w:r>
          <w:rPr>
            <w:rStyle w:val="Hyperlink"/>
          </w:rPr>
          <w:t xml:space="preserve">What affects authors’ and editors’ use of reporting guidelines?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Findings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from an online survey and qualitative interviews.</w:t>
        </w:r>
      </w:hyperlink>
      <w:r>
        <w:t xml:space="preserve"> PLoS ONE 10:e0121585</w:t>
      </w:r>
    </w:p>
    <w:bookmarkEnd w:id="43"/>
    <w:bookmarkStart w:id="45" w:name="ref-deweyImpactPerceivedValue2019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Dewey M, Levine D, Bossuyt PM, Kressel HY (2019)</w:t>
      </w:r>
      <w:r>
        <w:t xml:space="preserve"> </w:t>
      </w:r>
      <w:hyperlink r:id="rId44">
        <w:r>
          <w:rPr>
            <w:rStyle w:val="Hyperlink"/>
          </w:rPr>
          <w:t xml:space="preserve">Impact and perceived value of journal reporting guidelines among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Radiology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authors and reviewers</w:t>
        </w:r>
      </w:hyperlink>
      <w:r>
        <w:t xml:space="preserve">. European Radiology 29:3986–3995</w:t>
      </w:r>
    </w:p>
    <w:bookmarkEnd w:id="45"/>
    <w:bookmarkStart w:id="46" w:name="ref-burfordTestingPRISMAEquity20122013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Burford BJ, Welch V, Waters E, Tugwell P, Moher D, O’Neill J, Koehlmoos T, Petticrew M (2013) Testing the</w:t>
      </w:r>
      <w:r>
        <w:t xml:space="preserve"> </w:t>
      </w:r>
      <w:r>
        <w:t xml:space="preserve">PRISMA-Equity</w:t>
      </w:r>
      <w:r>
        <w:t xml:space="preserve"> </w:t>
      </w:r>
      <w:r>
        <w:t xml:space="preserve">2012 reporting guideline: The perspectives of systematic review authors. PloS one 8:e75122</w:t>
      </w:r>
    </w:p>
    <w:bookmarkEnd w:id="46"/>
    <w:bookmarkStart w:id="48" w:name="X5971da819ab33f225cbe6afcc4fa6d6b3c7ebaf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Svensøy JN, Nilsson H, Rimstad R (2021)</w:t>
      </w:r>
      <w:r>
        <w:t xml:space="preserve"> </w:t>
      </w:r>
      <w:hyperlink r:id="rId47">
        <w:r>
          <w:rPr>
            <w:rStyle w:val="Hyperlink"/>
          </w:rPr>
          <w:t xml:space="preserve">A qualitative study on researchers’ experiences after publishing scientific reports on major incidents, mass-casualty incidents, and disasters</w:t>
        </w:r>
      </w:hyperlink>
      <w:r>
        <w:t xml:space="preserve">. Prehospital and Disaster Medicine 36:536–542</w:t>
      </w:r>
    </w:p>
    <w:bookmarkEnd w:id="48"/>
    <w:bookmarkStart w:id="50" w:name="ref-pagePRISMA2020Statement2021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Page MJ, McKenzie JE, Bossuyt PM, et al (2021)</w:t>
      </w:r>
      <w:r>
        <w:t xml:space="preserve"> </w:t>
      </w:r>
      <w:hyperlink r:id="rId49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PRISMA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2020 statement: An updated guideline for reporting systematic reviews</w:t>
        </w:r>
      </w:hyperlink>
      <w:r>
        <w:t xml:space="preserve">. BMJ (Clinical research ed) 372:n71</w:t>
      </w:r>
    </w:p>
    <w:bookmarkEnd w:id="50"/>
    <w:bookmarkStart w:id="52" w:name="ref-macleodMDARMaterialsDesign2021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Macleod M, Collings AM, Graf C, Kiermer V, Mellor D, Swaminathan S, Sweet D, Vinson V (2021)</w:t>
      </w:r>
      <w:r>
        <w:t xml:space="preserve"> </w:t>
      </w:r>
      <w:hyperlink r:id="rId51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MDAR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</w:t>
        </w:r>
        <w:r>
          <w:rPr>
            <w:rStyle w:val="Hyperlink"/>
          </w:rPr>
          <w:t xml:space="preserve">Materials Design Analysis Reporting</w:t>
        </w:r>
        <w:r>
          <w:rPr>
            <w:rStyle w:val="Hyperlink"/>
          </w:rPr>
          <w:t xml:space="preserve">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Framework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 transparent reporting in the life sciences</w:t>
        </w:r>
      </w:hyperlink>
      <w:r>
        <w:t xml:space="preserve">. Proceedings of the National Academy of Sciences 118:e2103238118</w:t>
      </w:r>
    </w:p>
    <w:bookmarkEnd w:id="52"/>
    <w:bookmarkStart w:id="53" w:name="X7bb2eef00b82eee7040098ed1af6ffb9f6c8fa4"/>
    <w:p>
      <w:pPr>
        <w:pStyle w:val="Bibliography"/>
      </w:pPr>
      <w:r>
        <w:t xml:space="preserve">19.</w:t>
      </w:r>
      <w:r>
        <w:t xml:space="preserve"> </w:t>
      </w:r>
      <w:r>
        <w:t xml:space="preserve">	</w:t>
      </w:r>
      <w:r>
        <w:t xml:space="preserve">Rader T., Mann M., Stansfield C., Cooper C., Sampson M. (2014) Methods for documenting systematic review searches: A discussion of common issues. Research synthesis methods 5:98–115</w:t>
      </w:r>
    </w:p>
    <w:bookmarkEnd w:id="53"/>
    <w:bookmarkEnd w:id="54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doi.org/10.1002/ebm2.7" TargetMode="External" /><Relationship Type="http://schemas.openxmlformats.org/officeDocument/2006/relationships/hyperlink" Id="rId44" Target="https://doi.org/10.1007/s00330-018-5980-3" TargetMode="External" /><Relationship Type="http://schemas.openxmlformats.org/officeDocument/2006/relationships/hyperlink" Id="rId26" Target="https://doi.org/10.1016/j.jclinepi.2021.02.003" TargetMode="External" /><Relationship Type="http://schemas.openxmlformats.org/officeDocument/2006/relationships/hyperlink" Id="rId47" Target="https://doi.org/10.1017/S1049023X21000911" TargetMode="External" /><Relationship Type="http://schemas.openxmlformats.org/officeDocument/2006/relationships/hyperlink" Id="rId51" Target="https://doi.org/10.1073/pnas.2103238118" TargetMode="External" /><Relationship Type="http://schemas.openxmlformats.org/officeDocument/2006/relationships/hyperlink" Id="rId30" Target="https://doi.org/10.1089/acm.2007.7186" TargetMode="External" /><Relationship Type="http://schemas.openxmlformats.org/officeDocument/2006/relationships/hyperlink" Id="rId49" Target="https://doi.org/10.1136/bmj.n71" TargetMode="External" /><Relationship Type="http://schemas.openxmlformats.org/officeDocument/2006/relationships/hyperlink" Id="rId40" Target="https://doi.org/10.1136/bmjebm-2020-111604" TargetMode="External" /><Relationship Type="http://schemas.openxmlformats.org/officeDocument/2006/relationships/hyperlink" Id="rId37" Target="https://doi.org/10.1136/bmjopen-2018-026271" TargetMode="External" /><Relationship Type="http://schemas.openxmlformats.org/officeDocument/2006/relationships/hyperlink" Id="rId23" Target="https://doi.org/10.1136/bmjqs-2015-004116" TargetMode="External" /><Relationship Type="http://schemas.openxmlformats.org/officeDocument/2006/relationships/hyperlink" Id="rId21" Target="https://doi.org/10.1136/bmjqs-2015-004117" TargetMode="External" /><Relationship Type="http://schemas.openxmlformats.org/officeDocument/2006/relationships/hyperlink" Id="rId28" Target="https://doi.org/10.1186/s12874-021-01402-x" TargetMode="External" /><Relationship Type="http://schemas.openxmlformats.org/officeDocument/2006/relationships/hyperlink" Id="rId33" Target="https://doi.org/10.1371/journal.pbio.3000410" TargetMode="External" /><Relationship Type="http://schemas.openxmlformats.org/officeDocument/2006/relationships/hyperlink" Id="rId42" Target="https://doi.org/10.1371/journal.pone.012158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doi.org/10.1002/ebm2.7" TargetMode="External" /><Relationship Type="http://schemas.openxmlformats.org/officeDocument/2006/relationships/hyperlink" Id="rId44" Target="https://doi.org/10.1007/s00330-018-5980-3" TargetMode="External" /><Relationship Type="http://schemas.openxmlformats.org/officeDocument/2006/relationships/hyperlink" Id="rId26" Target="https://doi.org/10.1016/j.jclinepi.2021.02.003" TargetMode="External" /><Relationship Type="http://schemas.openxmlformats.org/officeDocument/2006/relationships/hyperlink" Id="rId47" Target="https://doi.org/10.1017/S1049023X21000911" TargetMode="External" /><Relationship Type="http://schemas.openxmlformats.org/officeDocument/2006/relationships/hyperlink" Id="rId51" Target="https://doi.org/10.1073/pnas.2103238118" TargetMode="External" /><Relationship Type="http://schemas.openxmlformats.org/officeDocument/2006/relationships/hyperlink" Id="rId30" Target="https://doi.org/10.1089/acm.2007.7186" TargetMode="External" /><Relationship Type="http://schemas.openxmlformats.org/officeDocument/2006/relationships/hyperlink" Id="rId49" Target="https://doi.org/10.1136/bmj.n71" TargetMode="External" /><Relationship Type="http://schemas.openxmlformats.org/officeDocument/2006/relationships/hyperlink" Id="rId40" Target="https://doi.org/10.1136/bmjebm-2020-111604" TargetMode="External" /><Relationship Type="http://schemas.openxmlformats.org/officeDocument/2006/relationships/hyperlink" Id="rId37" Target="https://doi.org/10.1136/bmjopen-2018-026271" TargetMode="External" /><Relationship Type="http://schemas.openxmlformats.org/officeDocument/2006/relationships/hyperlink" Id="rId23" Target="https://doi.org/10.1136/bmjqs-2015-004116" TargetMode="External" /><Relationship Type="http://schemas.openxmlformats.org/officeDocument/2006/relationships/hyperlink" Id="rId21" Target="https://doi.org/10.1136/bmjqs-2015-004117" TargetMode="External" /><Relationship Type="http://schemas.openxmlformats.org/officeDocument/2006/relationships/hyperlink" Id="rId28" Target="https://doi.org/10.1186/s12874-021-01402-x" TargetMode="External" /><Relationship Type="http://schemas.openxmlformats.org/officeDocument/2006/relationships/hyperlink" Id="rId33" Target="https://doi.org/10.1371/journal.pbio.3000410" TargetMode="External" /><Relationship Type="http://schemas.openxmlformats.org/officeDocument/2006/relationships/hyperlink" Id="rId42" Target="https://doi.org/10.1371/journal.pone.012158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2023-12-22T18:00:01Z</dcterms:created>
  <dcterms:modified xsi:type="dcterms:W3CDTF">2023-12-22T18:00:01Z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ommitID">
    <vt:lpwstr>COMMITID</vt:lpwstr>
  </property>
  <property fmtid="{D5CDD505-2E9C-101B-9397-08002B2CF9AE}" pid="7" name="crossref">
    <vt:lpwstr/>
  </property>
  <property fmtid="{D5CDD505-2E9C-101B-9397-08002B2CF9AE}" pid="8" name="csl">
    <vt:lpwstr>../../springer-vancouver.csl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toc-title">
    <vt:lpwstr>Table of contents</vt:lpwstr>
  </property>
</Properties>
</file>