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rgs"/>
    <w:p>
      <w:pPr>
        <w:pStyle w:val="TableCaption"/>
      </w:pPr>
      <w:r>
        <w:t xml:space="preserve">Table 1: Reporting guidelines featured on the EQUATOR Network’s home page</w:t>
      </w:r>
    </w:p>
    <w:tbl>
      <w:tblPr>
        <w:tblStyle w:val="Table"/>
        <w:tblW w:type="pct" w:w="4910"/>
        <w:tblLook w:firstRow="1" w:lastRow="0" w:firstColumn="0" w:lastColumn="0" w:noHBand="0" w:noVBand="0" w:val="0020"/>
        <w:jc w:val="start"/>
        <w:tblCaption w:val="Table 1: Reporting guidelines featured on the EQUATOR Network’s home page"/>
      </w:tblPr>
      <w:tblGrid>
        <w:gridCol w:w="784"/>
        <w:gridCol w:w="69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for systematic review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</w:tbl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2023-12-22T18:00:16Z</dcterms:created>
  <dcterms:modified xsi:type="dcterms:W3CDTF">2023-12-22T18:00:16Z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