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tbl-study-characteristics"/>
    <w:p>
      <w:pPr>
        <w:pStyle w:val="TableCaption"/>
      </w:pPr>
      <w:r>
        <w:t xml:space="preserve">Table 1: Study characteristics</w:t>
      </w:r>
    </w:p>
    <w:tbl>
      <w:tblPr>
        <w:tblStyle w:val="Table"/>
        <w:tblW w:type="pct" w:w="5000"/>
        <w:tblLook w:firstRow="1" w:lastRow="0" w:firstColumn="0" w:lastColumn="0" w:noHBand="0" w:noVBand="0" w:val="0020"/>
        <w:jc w:val="start"/>
        <w:tblCaption w:val="Table 1: Study characteristics"/>
      </w:tblPr>
      <w:tblGrid>
        <w:gridCol w:w="990"/>
        <w:gridCol w:w="990"/>
        <w:gridCol w:w="1320"/>
        <w:gridCol w:w="990"/>
        <w:gridCol w:w="990"/>
        <w:gridCol w:w="1650"/>
        <w:gridCol w:w="990"/>
      </w:tblGrid>
      <w:tr>
        <w:trPr>
          <w:tblHeader w:val="true"/>
        </w:trPr>
        <w:tc>
          <w:tcPr/>
          <w:p>
            <w:pPr>
              <w:pStyle w:val="Compact"/>
              <w:jc w:val="left"/>
            </w:pPr>
            <w:r>
              <w:rPr>
                <w:bCs/>
                <w:b/>
              </w:rPr>
              <w:t xml:space="preserve">Authors</w:t>
            </w:r>
          </w:p>
        </w:tc>
        <w:tc>
          <w:tcPr/>
          <w:p>
            <w:pPr>
              <w:pStyle w:val="Compact"/>
              <w:jc w:val="center"/>
            </w:pPr>
            <w:r>
              <w:rPr>
                <w:bCs/>
                <w:b/>
              </w:rPr>
              <w:t xml:space="preserve">Participants</w:t>
            </w:r>
          </w:p>
        </w:tc>
        <w:tc>
          <w:tcPr/>
          <w:p>
            <w:pPr>
              <w:pStyle w:val="Compact"/>
              <w:jc w:val="center"/>
            </w:pPr>
            <w:r>
              <w:rPr>
                <w:bCs/>
                <w:b/>
              </w:rPr>
              <w:t xml:space="preserve">Participant’s country</w:t>
            </w:r>
          </w:p>
        </w:tc>
        <w:tc>
          <w:tcPr/>
          <w:p>
            <w:pPr>
              <w:pStyle w:val="Compact"/>
              <w:jc w:val="center"/>
            </w:pPr>
            <w:r>
              <w:rPr>
                <w:bCs/>
                <w:b/>
              </w:rPr>
              <w:t xml:space="preserve">Guideline(s) considered</w:t>
            </w:r>
          </w:p>
        </w:tc>
        <w:tc>
          <w:tcPr/>
          <w:p>
            <w:pPr>
              <w:pStyle w:val="Compact"/>
              <w:jc w:val="center"/>
            </w:pPr>
            <w:r>
              <w:rPr>
                <w:bCs/>
                <w:b/>
              </w:rPr>
              <w:t xml:space="preserve">Methods</w:t>
            </w:r>
          </w:p>
        </w:tc>
        <w:tc>
          <w:tcPr/>
          <w:p>
            <w:pPr>
              <w:pStyle w:val="Compact"/>
              <w:jc w:val="center"/>
            </w:pPr>
            <w:r>
              <w:rPr>
                <w:bCs/>
                <w:b/>
              </w:rPr>
              <w:t xml:space="preserve">Phenomena of interest</w:t>
            </w:r>
          </w:p>
        </w:tc>
        <w:tc>
          <w:tcPr/>
          <w:p>
            <w:pPr>
              <w:pStyle w:val="Compact"/>
              <w:jc w:val="center"/>
            </w:pPr>
            <w:r>
              <w:rPr>
                <w:bCs/>
                <w:b/>
              </w:rPr>
              <w:t xml:space="preserve">CASP rating</w:t>
            </w:r>
          </w:p>
        </w:tc>
      </w:tr>
      <w:tr>
        <w:tc>
          <w:tcPr/>
          <w:p>
            <w:pPr>
              <w:pStyle w:val="Compact"/>
              <w:jc w:val="left"/>
            </w:pPr>
            <w:r>
              <w:t xml:space="preserve">Burford et al., 2013</w:t>
            </w:r>
            <w:r>
              <w:t xml:space="preserve"> </w:t>
            </w:r>
            <w:r>
              <w:t xml:space="preserve">[1]</w:t>
            </w:r>
          </w:p>
        </w:tc>
        <w:tc>
          <w:tcPr/>
          <w:p>
            <w:pPr>
              <w:pStyle w:val="Compact"/>
              <w:jc w:val="center"/>
            </w:pPr>
            <w:r>
              <w:t xml:space="preserve">151 systematic review authors</w:t>
            </w:r>
          </w:p>
        </w:tc>
        <w:tc>
          <w:tcPr/>
          <w:p>
            <w:pPr>
              <w:pStyle w:val="Compact"/>
              <w:jc w:val="center"/>
            </w:pPr>
            <w:r>
              <w:t xml:space="preserve">Not reported</w:t>
            </w:r>
          </w:p>
        </w:tc>
        <w:tc>
          <w:tcPr/>
          <w:p>
            <w:pPr>
              <w:pStyle w:val="Compact"/>
              <w:jc w:val="center"/>
            </w:pPr>
            <w:r>
              <w:t xml:space="preserve">PRISMA Equity</w:t>
            </w:r>
          </w:p>
        </w:tc>
        <w:tc>
          <w:tcPr/>
          <w:p>
            <w:pPr>
              <w:pStyle w:val="Compact"/>
              <w:jc w:val="center"/>
            </w:pPr>
            <w:r>
              <w:t xml:space="preserve">Mixed methods survey</w:t>
            </w:r>
          </w:p>
        </w:tc>
        <w:tc>
          <w:tcPr/>
          <w:p>
            <w:pPr>
              <w:pStyle w:val="Compact"/>
              <w:jc w:val="center"/>
            </w:pPr>
            <w:r>
              <w:t xml:space="preserve">Perceived utility, facilitators, and barriers</w:t>
            </w:r>
          </w:p>
        </w:tc>
        <w:tc>
          <w:tcPr/>
          <w:p>
            <w:pPr>
              <w:pStyle w:val="Compact"/>
              <w:jc w:val="center"/>
            </w:pPr>
            <w:r>
              <w:t xml:space="preserve">Fairly valuable</w:t>
            </w:r>
          </w:p>
        </w:tc>
      </w:tr>
      <w:tr>
        <w:tc>
          <w:tcPr/>
          <w:p>
            <w:pPr>
              <w:pStyle w:val="Compact"/>
              <w:jc w:val="left"/>
            </w:pPr>
            <w:r>
              <w:t xml:space="preserve">Davies et al., 2015</w:t>
            </w:r>
            <w:r>
              <w:t xml:space="preserve"> </w:t>
            </w:r>
            <w:r>
              <w:t xml:space="preserve">[2]</w:t>
            </w:r>
          </w:p>
        </w:tc>
        <w:tc>
          <w:tcPr/>
          <w:p>
            <w:pPr>
              <w:pStyle w:val="Compact"/>
              <w:jc w:val="center"/>
            </w:pPr>
            <w:r>
              <w:t xml:space="preserve">18 experts and 29 end users</w:t>
            </w:r>
          </w:p>
        </w:tc>
        <w:tc>
          <w:tcPr/>
          <w:p>
            <w:pPr>
              <w:pStyle w:val="Compact"/>
              <w:jc w:val="center"/>
            </w:pPr>
            <w:r>
              <w:t xml:space="preserve">USA, Canada, Sweden, the UK, and Norway</w:t>
            </w:r>
          </w:p>
        </w:tc>
        <w:tc>
          <w:tcPr/>
          <w:p>
            <w:pPr>
              <w:pStyle w:val="Compact"/>
              <w:jc w:val="center"/>
            </w:pPr>
            <w:r>
              <w:t xml:space="preserve">SQUIRE</w:t>
            </w:r>
          </w:p>
        </w:tc>
        <w:tc>
          <w:tcPr/>
          <w:p>
            <w:pPr>
              <w:pStyle w:val="Compact"/>
              <w:jc w:val="center"/>
            </w:pPr>
            <w:r>
              <w:t xml:space="preserve">Focus groups and interviews</w:t>
            </w:r>
          </w:p>
        </w:tc>
        <w:tc>
          <w:tcPr/>
          <w:p>
            <w:pPr>
              <w:pStyle w:val="Compact"/>
              <w:jc w:val="center"/>
            </w:pPr>
            <w:r>
              <w:t xml:space="preserve">Experiences with and impressions of the SQUIRE Guidelines</w:t>
            </w:r>
          </w:p>
        </w:tc>
        <w:tc>
          <w:tcPr/>
          <w:p>
            <w:pPr>
              <w:pStyle w:val="Compact"/>
              <w:jc w:val="center"/>
            </w:pPr>
            <w:r>
              <w:t xml:space="preserve">Valuable</w:t>
            </w:r>
          </w:p>
        </w:tc>
      </w:tr>
      <w:tr>
        <w:tc>
          <w:tcPr/>
          <w:p>
            <w:pPr>
              <w:pStyle w:val="Compact"/>
              <w:jc w:val="left"/>
            </w:pPr>
            <w:r>
              <w:t xml:space="preserve">Davies et al., 2016</w:t>
            </w:r>
            <w:r>
              <w:t xml:space="preserve"> </w:t>
            </w:r>
            <w:r>
              <w:t xml:space="preserve">[3]</w:t>
            </w:r>
          </w:p>
        </w:tc>
        <w:tc>
          <w:tcPr/>
          <w:p>
            <w:pPr>
              <w:pStyle w:val="Compact"/>
              <w:jc w:val="center"/>
            </w:pPr>
            <w:r>
              <w:t xml:space="preserve">44 graduates faculty, and directors of healthcare</w:t>
            </w:r>
          </w:p>
        </w:tc>
        <w:tc>
          <w:tcPr/>
          <w:p>
            <w:pPr>
              <w:pStyle w:val="Compact"/>
              <w:jc w:val="center"/>
            </w:pPr>
            <w:r>
              <w:t xml:space="preserve">Not reported</w:t>
            </w:r>
          </w:p>
        </w:tc>
        <w:tc>
          <w:tcPr/>
          <w:p>
            <w:pPr>
              <w:pStyle w:val="Compact"/>
              <w:jc w:val="center"/>
            </w:pPr>
            <w:r>
              <w:t xml:space="preserve">SQUIRE</w:t>
            </w:r>
          </w:p>
        </w:tc>
        <w:tc>
          <w:tcPr/>
          <w:p>
            <w:pPr>
              <w:pStyle w:val="Compact"/>
              <w:jc w:val="center"/>
            </w:pPr>
            <w:r>
              <w:t xml:space="preserve">Mixed methods survey and written exercise</w:t>
            </w:r>
          </w:p>
        </w:tc>
        <w:tc>
          <w:tcPr/>
          <w:p>
            <w:pPr>
              <w:pStyle w:val="Compact"/>
              <w:jc w:val="center"/>
            </w:pPr>
            <w:r>
              <w:t xml:space="preserve">“</w:t>
            </w:r>
            <w:r>
              <w:t xml:space="preserve">whether SQUIRE 1.6 was understood and implemented as intended by the developers</w:t>
            </w:r>
            <w:r>
              <w:t xml:space="preserve">”</w:t>
            </w:r>
          </w:p>
        </w:tc>
        <w:tc>
          <w:tcPr/>
          <w:p>
            <w:pPr>
              <w:pStyle w:val="Compact"/>
              <w:jc w:val="center"/>
            </w:pPr>
            <w:r>
              <w:t xml:space="preserve">Valuable</w:t>
            </w:r>
          </w:p>
        </w:tc>
      </w:tr>
      <w:tr>
        <w:tc>
          <w:tcPr/>
          <w:p>
            <w:pPr>
              <w:pStyle w:val="Compact"/>
              <w:jc w:val="left"/>
            </w:pPr>
            <w:r>
              <w:t xml:space="preserve">De Vries et al. 2015</w:t>
            </w:r>
            <w:r>
              <w:t xml:space="preserve"> </w:t>
            </w:r>
            <w:r>
              <w:t xml:space="preserve">[4]</w:t>
            </w:r>
          </w:p>
        </w:tc>
        <w:tc>
          <w:tcPr/>
          <w:p>
            <w:pPr>
              <w:pStyle w:val="Compact"/>
              <w:jc w:val="center"/>
            </w:pPr>
            <w:r>
              <w:t xml:space="preserve">7 researchers</w:t>
            </w:r>
          </w:p>
        </w:tc>
        <w:tc>
          <w:tcPr/>
          <w:p>
            <w:pPr>
              <w:pStyle w:val="Compact"/>
              <w:jc w:val="center"/>
            </w:pPr>
            <w:r>
              <w:t xml:space="preserve">Not reported</w:t>
            </w:r>
          </w:p>
        </w:tc>
        <w:tc>
          <w:tcPr/>
          <w:p>
            <w:pPr>
              <w:pStyle w:val="Compact"/>
              <w:jc w:val="center"/>
            </w:pPr>
            <w:r>
              <w:t xml:space="preserve">Systematic review protocols of animal intervention studies</w:t>
            </w:r>
          </w:p>
        </w:tc>
        <w:tc>
          <w:tcPr/>
          <w:p>
            <w:pPr>
              <w:pStyle w:val="Compact"/>
            </w:pPr>
          </w:p>
        </w:tc>
        <w:tc>
          <w:tcPr/>
          <w:p>
            <w:pPr>
              <w:pStyle w:val="Compact"/>
              <w:jc w:val="center"/>
            </w:pPr>
            <w:r>
              <w:t xml:space="preserve">Feedback on usability, missing items, possibilities for improvement and clarity</w:t>
            </w:r>
          </w:p>
        </w:tc>
        <w:tc>
          <w:tcPr/>
          <w:p>
            <w:pPr>
              <w:pStyle w:val="Compact"/>
              <w:jc w:val="center"/>
            </w:pPr>
            <w:r>
              <w:t xml:space="preserve">Not very valuable</w:t>
            </w:r>
          </w:p>
        </w:tc>
      </w:tr>
      <w:tr>
        <w:tc>
          <w:tcPr/>
          <w:p>
            <w:pPr>
              <w:pStyle w:val="Compact"/>
              <w:jc w:val="left"/>
            </w:pPr>
            <w:r>
              <w:t xml:space="preserve">Dewey et al., 2019</w:t>
            </w:r>
            <w:r>
              <w:t xml:space="preserve"> </w:t>
            </w:r>
            <w:r>
              <w:t xml:space="preserve">[5]</w:t>
            </w:r>
          </w:p>
        </w:tc>
        <w:tc>
          <w:tcPr/>
          <w:p>
            <w:pPr>
              <w:pStyle w:val="Compact"/>
              <w:jc w:val="center"/>
            </w:pPr>
            <w:r>
              <w:t xml:space="preserve">74 out of 831 survey respondents that provided (optional) free text comments</w:t>
            </w:r>
          </w:p>
        </w:tc>
        <w:tc>
          <w:tcPr/>
          <w:p>
            <w:pPr>
              <w:pStyle w:val="Compact"/>
              <w:jc w:val="center"/>
            </w:pPr>
            <w:r>
              <w:t xml:space="preserve">The full survey was answered by respondents in the USA, Canada, China, South Korea, Japan, Germany, France, Italy, UK, Other European countries, Middle East, Latin America, Other. It’s unclear where respondents for the free text answers came from.</w:t>
            </w:r>
          </w:p>
        </w:tc>
        <w:tc>
          <w:tcPr/>
          <w:p>
            <w:pPr>
              <w:pStyle w:val="Compact"/>
              <w:jc w:val="center"/>
            </w:pPr>
            <w:r>
              <w:t xml:space="preserve">CONSORT, STROBE, PRISMA, STARD</w:t>
            </w:r>
          </w:p>
        </w:tc>
        <w:tc>
          <w:tcPr/>
          <w:p>
            <w:pPr>
              <w:pStyle w:val="Compact"/>
              <w:jc w:val="center"/>
            </w:pPr>
            <w:r>
              <w:t xml:space="preserve">Mixed methods survey</w:t>
            </w:r>
          </w:p>
        </w:tc>
        <w:tc>
          <w:tcPr/>
          <w:p>
            <w:pPr>
              <w:pStyle w:val="Compact"/>
              <w:jc w:val="center"/>
            </w:pPr>
            <w:r>
              <w:t xml:space="preserve">“</w:t>
            </w:r>
            <w:r>
              <w:t xml:space="preserve">(1) When and how are reporting guidelines and checklists used by authors and reviewers? (2) What is their impact on the content of final manuscript drafts according to authors? and (3) How do authors and reviewers perceive the value of reporting guidelines and related checklists?</w:t>
            </w:r>
            <w:r>
              <w:t xml:space="preserve">”</w:t>
            </w:r>
          </w:p>
        </w:tc>
        <w:tc>
          <w:tcPr/>
          <w:p>
            <w:pPr>
              <w:pStyle w:val="Compact"/>
              <w:jc w:val="center"/>
            </w:pPr>
            <w:r>
              <w:t xml:space="preserve">Fairly valuable</w:t>
            </w:r>
          </w:p>
        </w:tc>
      </w:tr>
      <w:tr>
        <w:tc>
          <w:tcPr/>
          <w:p>
            <w:pPr>
              <w:pStyle w:val="Compact"/>
              <w:jc w:val="left"/>
            </w:pPr>
            <w:r>
              <w:t xml:space="preserve">Eysenbach 2013</w:t>
            </w:r>
            <w:r>
              <w:t xml:space="preserve"> </w:t>
            </w:r>
            <w:r>
              <w:t xml:space="preserve">[6]</w:t>
            </w:r>
          </w:p>
        </w:tc>
        <w:tc>
          <w:tcPr/>
          <w:p>
            <w:pPr>
              <w:pStyle w:val="Compact"/>
              <w:jc w:val="center"/>
            </w:pPr>
            <w:r>
              <w:t xml:space="preserve">61 authors</w:t>
            </w:r>
          </w:p>
        </w:tc>
        <w:tc>
          <w:tcPr/>
          <w:p>
            <w:pPr>
              <w:pStyle w:val="Compact"/>
              <w:jc w:val="center"/>
            </w:pPr>
            <w:r>
              <w:t xml:space="preserve">Not reported</w:t>
            </w:r>
          </w:p>
        </w:tc>
        <w:tc>
          <w:tcPr/>
          <w:p>
            <w:pPr>
              <w:pStyle w:val="Compact"/>
              <w:jc w:val="center"/>
            </w:pPr>
            <w:r>
              <w:t xml:space="preserve">CONSORT Ehealth</w:t>
            </w:r>
          </w:p>
        </w:tc>
        <w:tc>
          <w:tcPr/>
          <w:p>
            <w:pPr>
              <w:pStyle w:val="Compact"/>
              <w:jc w:val="center"/>
            </w:pPr>
            <w:r>
              <w:t xml:space="preserve">Mixed methods survey</w:t>
            </w:r>
          </w:p>
        </w:tc>
        <w:tc>
          <w:tcPr/>
          <w:p>
            <w:pPr>
              <w:pStyle w:val="Compact"/>
              <w:jc w:val="center"/>
            </w:pPr>
            <w:r>
              <w:t xml:space="preserve">Views on completing the checklist as part of submission</w:t>
            </w:r>
          </w:p>
        </w:tc>
        <w:tc>
          <w:tcPr/>
          <w:p>
            <w:pPr>
              <w:pStyle w:val="Compact"/>
              <w:jc w:val="center"/>
            </w:pPr>
            <w:r>
              <w:t xml:space="preserve">Fairly valuable</w:t>
            </w:r>
          </w:p>
        </w:tc>
      </w:tr>
      <w:tr>
        <w:tc>
          <w:tcPr/>
          <w:p>
            <w:pPr>
              <w:pStyle w:val="Compact"/>
              <w:jc w:val="left"/>
            </w:pPr>
            <w:r>
              <w:t xml:space="preserve">Fuller et al., 2015</w:t>
            </w:r>
            <w:r>
              <w:t xml:space="preserve"> </w:t>
            </w:r>
            <w:r>
              <w:t xml:space="preserve">[7]</w:t>
            </w:r>
          </w:p>
        </w:tc>
        <w:tc>
          <w:tcPr/>
          <w:p>
            <w:pPr>
              <w:pStyle w:val="Compact"/>
              <w:jc w:val="center"/>
            </w:pPr>
            <w:r>
              <w:t xml:space="preserve">5 authors</w:t>
            </w:r>
          </w:p>
        </w:tc>
        <w:tc>
          <w:tcPr/>
          <w:p>
            <w:pPr>
              <w:pStyle w:val="Compact"/>
              <w:jc w:val="center"/>
            </w:pPr>
            <w:r>
              <w:t xml:space="preserve">USA and Australia</w:t>
            </w:r>
          </w:p>
        </w:tc>
        <w:tc>
          <w:tcPr/>
          <w:p>
            <w:pPr>
              <w:pStyle w:val="Compact"/>
              <w:jc w:val="center"/>
            </w:pPr>
            <w:r>
              <w:t xml:space="preserve">TREND and Reporting Guidelines in general</w:t>
            </w:r>
          </w:p>
        </w:tc>
        <w:tc>
          <w:tcPr/>
          <w:p>
            <w:pPr>
              <w:pStyle w:val="Compact"/>
              <w:jc w:val="center"/>
            </w:pPr>
            <w:r>
              <w:t xml:space="preserve">Semi structured interviews</w:t>
            </w:r>
          </w:p>
        </w:tc>
        <w:tc>
          <w:tcPr/>
          <w:p>
            <w:pPr>
              <w:pStyle w:val="Compact"/>
              <w:jc w:val="center"/>
            </w:pPr>
            <w:r>
              <w:t xml:space="preserve">Factors that affected authors’ use of TREND and other reporting guidelines</w:t>
            </w:r>
          </w:p>
        </w:tc>
        <w:tc>
          <w:tcPr/>
          <w:p>
            <w:pPr>
              <w:pStyle w:val="Compact"/>
              <w:jc w:val="center"/>
            </w:pPr>
            <w:r>
              <w:t xml:space="preserve">Valuable</w:t>
            </w:r>
          </w:p>
        </w:tc>
      </w:tr>
      <w:tr>
        <w:tc>
          <w:tcPr/>
          <w:p>
            <w:pPr>
              <w:pStyle w:val="Compact"/>
              <w:jc w:val="left"/>
            </w:pPr>
            <w:r>
              <w:t xml:space="preserve">Korevaar et al., 2016</w:t>
            </w:r>
            <w:r>
              <w:t xml:space="preserve"> </w:t>
            </w:r>
            <w:r>
              <w:t xml:space="preserve">[8]</w:t>
            </w:r>
          </w:p>
        </w:tc>
        <w:tc>
          <w:tcPr/>
          <w:p>
            <w:pPr>
              <w:pStyle w:val="Compact"/>
              <w:jc w:val="center"/>
            </w:pPr>
            <w:r>
              <w:t xml:space="preserve">4 radiology residents, 8 laboratory medicine experts</w:t>
            </w:r>
          </w:p>
        </w:tc>
        <w:tc>
          <w:tcPr/>
          <w:p>
            <w:pPr>
              <w:pStyle w:val="Compact"/>
              <w:jc w:val="center"/>
            </w:pPr>
            <w:r>
              <w:t xml:space="preserve">Radiology residents were from the Netherlands. No geographical details provided for experts</w:t>
            </w:r>
          </w:p>
        </w:tc>
        <w:tc>
          <w:tcPr/>
          <w:p>
            <w:pPr>
              <w:pStyle w:val="Compact"/>
              <w:jc w:val="center"/>
            </w:pPr>
            <w:r>
              <w:t xml:space="preserve">STARD</w:t>
            </w:r>
          </w:p>
        </w:tc>
        <w:tc>
          <w:tcPr/>
          <w:p>
            <w:pPr>
              <w:pStyle w:val="Compact"/>
              <w:jc w:val="center"/>
            </w:pPr>
            <w:r>
              <w:t xml:space="preserve">Interview (residents) and mixed methods survey (experts)</w:t>
            </w:r>
          </w:p>
        </w:tc>
        <w:tc>
          <w:tcPr/>
          <w:p>
            <w:pPr>
              <w:pStyle w:val="Compact"/>
              <w:jc w:val="center"/>
            </w:pPr>
            <w:r>
              <w:t xml:space="preserve">To identify items that were vague, ambiguous, difficult to interpret, or missing</w:t>
            </w:r>
          </w:p>
        </w:tc>
        <w:tc>
          <w:tcPr/>
          <w:p>
            <w:pPr>
              <w:pStyle w:val="Compact"/>
              <w:jc w:val="center"/>
            </w:pPr>
            <w:r>
              <w:t xml:space="preserve">Fairly valuable</w:t>
            </w:r>
          </w:p>
        </w:tc>
      </w:tr>
      <w:tr>
        <w:tc>
          <w:tcPr/>
          <w:p>
            <w:pPr>
              <w:pStyle w:val="Compact"/>
              <w:jc w:val="left"/>
            </w:pPr>
            <w:r>
              <w:t xml:space="preserve">Macleod et al., 2021</w:t>
            </w:r>
            <w:r>
              <w:t xml:space="preserve"> </w:t>
            </w:r>
            <w:r>
              <w:t xml:space="preserve">[9]</w:t>
            </w:r>
          </w:p>
        </w:tc>
        <w:tc>
          <w:tcPr/>
          <w:p>
            <w:pPr>
              <w:pStyle w:val="Compact"/>
              <w:jc w:val="center"/>
            </w:pPr>
            <w:r>
              <w:t xml:space="preserve">211 authors, but only some answered the free text question</w:t>
            </w:r>
          </w:p>
        </w:tc>
        <w:tc>
          <w:tcPr/>
          <w:p>
            <w:pPr>
              <w:pStyle w:val="Compact"/>
              <w:jc w:val="center"/>
            </w:pPr>
            <w:r>
              <w:t xml:space="preserve">The full survey was answered by participants in the USA, China, Japan, Germany, EU, and</w:t>
            </w:r>
            <w:r>
              <w:t xml:space="preserve"> </w:t>
            </w:r>
            <w:r>
              <w:t xml:space="preserve">“</w:t>
            </w:r>
            <w:r>
              <w:t xml:space="preserve">Other</w:t>
            </w:r>
            <w:r>
              <w:t xml:space="preserve">”</w:t>
            </w:r>
            <w:r>
              <w:t xml:space="preserve"> </w:t>
            </w:r>
            <w:r>
              <w:t xml:space="preserve">areas. It is unclear who answered the free text question.</w:t>
            </w:r>
          </w:p>
        </w:tc>
        <w:tc>
          <w:tcPr/>
          <w:p>
            <w:pPr>
              <w:pStyle w:val="Compact"/>
              <w:jc w:val="center"/>
            </w:pPr>
            <w:r>
              <w:t xml:space="preserve">Materials Design Analysis Reporting framework</w:t>
            </w:r>
          </w:p>
        </w:tc>
        <w:tc>
          <w:tcPr/>
          <w:p>
            <w:pPr>
              <w:pStyle w:val="Compact"/>
              <w:jc w:val="center"/>
            </w:pPr>
            <w:r>
              <w:t xml:space="preserve">Mixed methods survey</w:t>
            </w:r>
          </w:p>
        </w:tc>
        <w:tc>
          <w:tcPr/>
          <w:p>
            <w:pPr>
              <w:pStyle w:val="Compact"/>
              <w:jc w:val="center"/>
            </w:pPr>
            <w:r>
              <w:t xml:space="preserve">Whether the checklist was clear and useful</w:t>
            </w:r>
          </w:p>
        </w:tc>
        <w:tc>
          <w:tcPr/>
          <w:p>
            <w:pPr>
              <w:pStyle w:val="Compact"/>
              <w:jc w:val="center"/>
            </w:pPr>
            <w:r>
              <w:t xml:space="preserve">Fairly valuable</w:t>
            </w:r>
          </w:p>
        </w:tc>
      </w:tr>
      <w:tr>
        <w:tc>
          <w:tcPr/>
          <w:p>
            <w:pPr>
              <w:pStyle w:val="Compact"/>
              <w:jc w:val="left"/>
            </w:pPr>
            <w:r>
              <w:t xml:space="preserve">Page et al., 2021</w:t>
            </w:r>
            <w:r>
              <w:t xml:space="preserve"> </w:t>
            </w:r>
            <w:r>
              <w:t xml:space="preserve">[10]</w:t>
            </w:r>
          </w:p>
        </w:tc>
        <w:tc>
          <w:tcPr/>
          <w:p>
            <w:pPr>
              <w:pStyle w:val="Compact"/>
              <w:jc w:val="center"/>
            </w:pPr>
            <w:r>
              <w:t xml:space="preserve">110 systematic review authors and experts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 and proposed changes</w:t>
            </w:r>
          </w:p>
        </w:tc>
        <w:tc>
          <w:tcPr/>
          <w:p>
            <w:pPr>
              <w:pStyle w:val="Compact"/>
              <w:jc w:val="center"/>
            </w:pPr>
            <w:r>
              <w:t xml:space="preserve">Valuable</w:t>
            </w:r>
          </w:p>
        </w:tc>
      </w:tr>
      <w:tr>
        <w:tc>
          <w:tcPr/>
          <w:p>
            <w:pPr>
              <w:pStyle w:val="Compact"/>
              <w:jc w:val="left"/>
            </w:pPr>
            <w:r>
              <w:t xml:space="preserve">Prady et al., 2007</w:t>
            </w:r>
            <w:r>
              <w:t xml:space="preserve"> </w:t>
            </w:r>
            <w:r>
              <w:t xml:space="preserve">[11]</w:t>
            </w:r>
          </w:p>
        </w:tc>
        <w:tc>
          <w:tcPr/>
          <w:p>
            <w:pPr>
              <w:pStyle w:val="Compact"/>
              <w:jc w:val="center"/>
            </w:pPr>
            <w:r>
              <w:t xml:space="preserve">40 authors</w:t>
            </w:r>
          </w:p>
        </w:tc>
        <w:tc>
          <w:tcPr/>
          <w:p>
            <w:pPr>
              <w:pStyle w:val="Compact"/>
              <w:jc w:val="center"/>
            </w:pPr>
            <w:r>
              <w:t xml:space="preserve">Not reported</w:t>
            </w:r>
          </w:p>
        </w:tc>
        <w:tc>
          <w:tcPr/>
          <w:p>
            <w:pPr>
              <w:pStyle w:val="Compact"/>
              <w:jc w:val="center"/>
            </w:pPr>
            <w:r>
              <w:t xml:space="preserve">Standards for Reporting Interventions in Controlled Trials of Acupuncture</w:t>
            </w:r>
          </w:p>
        </w:tc>
        <w:tc>
          <w:tcPr/>
          <w:p>
            <w:pPr>
              <w:pStyle w:val="Compact"/>
              <w:jc w:val="center"/>
            </w:pPr>
            <w:r>
              <w:t xml:space="preserve">Mixed methods survey</w:t>
            </w:r>
          </w:p>
        </w:tc>
        <w:tc>
          <w:tcPr/>
          <w:p>
            <w:pPr>
              <w:pStyle w:val="Compact"/>
              <w:jc w:val="center"/>
            </w:pPr>
            <w:r>
              <w:t xml:space="preserve">Experiences using PRISMA</w:t>
            </w:r>
          </w:p>
        </w:tc>
        <w:tc>
          <w:tcPr/>
          <w:p>
            <w:pPr>
              <w:pStyle w:val="Compact"/>
              <w:jc w:val="center"/>
            </w:pPr>
            <w:r>
              <w:t xml:space="preserve">Fairly valuable</w:t>
            </w:r>
          </w:p>
        </w:tc>
      </w:tr>
      <w:tr>
        <w:tc>
          <w:tcPr/>
          <w:p>
            <w:pPr>
              <w:pStyle w:val="Compact"/>
              <w:jc w:val="left"/>
            </w:pPr>
            <w:r>
              <w:t xml:space="preserve">Prager et al., 2021</w:t>
            </w:r>
            <w:r>
              <w:t xml:space="preserve"> </w:t>
            </w:r>
            <w:r>
              <w:t xml:space="preserve">[12]</w:t>
            </w:r>
          </w:p>
        </w:tc>
        <w:tc>
          <w:tcPr/>
          <w:p>
            <w:pPr>
              <w:pStyle w:val="Compact"/>
              <w:jc w:val="center"/>
            </w:pPr>
            <w:r>
              <w:t xml:space="preserve">5 of 18 survey respondents that answered the free text question</w:t>
            </w:r>
          </w:p>
        </w:tc>
        <w:tc>
          <w:tcPr/>
          <w:p>
            <w:pPr>
              <w:pStyle w:val="Compact"/>
              <w:jc w:val="center"/>
            </w:pPr>
            <w:r>
              <w:t xml:space="preserve">Not reported</w:t>
            </w:r>
          </w:p>
        </w:tc>
        <w:tc>
          <w:tcPr/>
          <w:p>
            <w:pPr>
              <w:pStyle w:val="Compact"/>
              <w:jc w:val="center"/>
            </w:pPr>
            <w:r>
              <w:t xml:space="preserve">STARD</w:t>
            </w:r>
          </w:p>
        </w:tc>
        <w:tc>
          <w:tcPr/>
          <w:p>
            <w:pPr>
              <w:pStyle w:val="Compact"/>
              <w:jc w:val="center"/>
            </w:pPr>
            <w:r>
              <w:t xml:space="preserve">Mixed methods survey</w:t>
            </w:r>
          </w:p>
        </w:tc>
        <w:tc>
          <w:tcPr/>
          <w:p>
            <w:pPr>
              <w:pStyle w:val="Compact"/>
              <w:jc w:val="center"/>
            </w:pPr>
            <w:r>
              <w:t xml:space="preserve">Barriers to STARD 2015 adherence</w:t>
            </w:r>
          </w:p>
        </w:tc>
        <w:tc>
          <w:tcPr/>
          <w:p>
            <w:pPr>
              <w:pStyle w:val="Compact"/>
              <w:jc w:val="center"/>
            </w:pPr>
            <w:r>
              <w:t xml:space="preserve">Fairly valuable</w:t>
            </w:r>
          </w:p>
        </w:tc>
      </w:tr>
      <w:tr>
        <w:tc>
          <w:tcPr/>
          <w:p>
            <w:pPr>
              <w:pStyle w:val="Compact"/>
              <w:jc w:val="left"/>
            </w:pPr>
            <w:r>
              <w:t xml:space="preserve">Rader et al., 2014</w:t>
            </w:r>
            <w:r>
              <w:t xml:space="preserve"> </w:t>
            </w:r>
            <w:r>
              <w:t xml:space="preserve">[13]</w:t>
            </w:r>
          </w:p>
        </w:tc>
        <w:tc>
          <w:tcPr/>
          <w:p>
            <w:pPr>
              <w:pStyle w:val="Compact"/>
              <w:jc w:val="center"/>
            </w:pPr>
            <w:r>
              <w:t xml:space="preserve">263 systematic reviewers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Barriers or difficulties in meeting more detailed reporting standards in PRISMA</w:t>
            </w:r>
          </w:p>
        </w:tc>
        <w:tc>
          <w:tcPr/>
          <w:p>
            <w:pPr>
              <w:pStyle w:val="Compact"/>
              <w:jc w:val="center"/>
            </w:pPr>
            <w:r>
              <w:t xml:space="preserve">Fairly valuable</w:t>
            </w:r>
          </w:p>
        </w:tc>
      </w:tr>
      <w:tr>
        <w:tc>
          <w:tcPr/>
          <w:p>
            <w:pPr>
              <w:pStyle w:val="Compact"/>
              <w:jc w:val="left"/>
            </w:pPr>
            <w:r>
              <w:t xml:space="preserve">du Sert et al., 2020</w:t>
            </w:r>
            <w:r>
              <w:t xml:space="preserve"> </w:t>
            </w:r>
            <w:r>
              <w:t xml:space="preserve">[14]</w:t>
            </w:r>
          </w:p>
        </w:tc>
        <w:tc>
          <w:tcPr/>
          <w:p>
            <w:pPr>
              <w:pStyle w:val="Compact"/>
              <w:jc w:val="center"/>
            </w:pPr>
            <w:r>
              <w:t xml:space="preserve">11 authors</w:t>
            </w:r>
          </w:p>
        </w:tc>
        <w:tc>
          <w:tcPr/>
          <w:p>
            <w:pPr>
              <w:pStyle w:val="Compact"/>
              <w:jc w:val="center"/>
            </w:pPr>
            <w:r>
              <w:t xml:space="preserve">UK, USA, Belgium, Brazil</w:t>
            </w:r>
          </w:p>
        </w:tc>
        <w:tc>
          <w:tcPr/>
          <w:p>
            <w:pPr>
              <w:pStyle w:val="Compact"/>
              <w:jc w:val="center"/>
            </w:pPr>
            <w:r>
              <w:t xml:space="preserve">ARRIVE</w:t>
            </w:r>
          </w:p>
        </w:tc>
        <w:tc>
          <w:tcPr/>
          <w:p>
            <w:pPr>
              <w:pStyle w:val="Compact"/>
              <w:jc w:val="center"/>
            </w:pPr>
            <w:r>
              <w:t xml:space="preserve">Interview and writing task</w:t>
            </w:r>
          </w:p>
        </w:tc>
        <w:tc>
          <w:tcPr/>
          <w:p>
            <w:pPr>
              <w:pStyle w:val="Compact"/>
              <w:jc w:val="center"/>
            </w:pPr>
            <w:r>
              <w:t xml:space="preserve">Authors’ opinions, interpretation, and experiences of updated ARRIVE guidelines</w:t>
            </w:r>
          </w:p>
        </w:tc>
        <w:tc>
          <w:tcPr/>
          <w:p>
            <w:pPr>
              <w:pStyle w:val="Compact"/>
              <w:jc w:val="center"/>
            </w:pPr>
            <w:r>
              <w:t xml:space="preserve">Fairly valuable</w:t>
            </w:r>
          </w:p>
        </w:tc>
      </w:tr>
      <w:tr>
        <w:tc>
          <w:tcPr/>
          <w:p>
            <w:pPr>
              <w:pStyle w:val="Compact"/>
              <w:jc w:val="left"/>
            </w:pPr>
            <w:r>
              <w:t xml:space="preserve">Sharp et al., 2020</w:t>
            </w:r>
            <w:r>
              <w:t xml:space="preserve"> </w:t>
            </w:r>
            <w:r>
              <w:t xml:space="preserve">[15]</w:t>
            </w:r>
          </w:p>
        </w:tc>
        <w:tc>
          <w:tcPr/>
          <w:p>
            <w:pPr>
              <w:pStyle w:val="Compact"/>
              <w:jc w:val="center"/>
            </w:pPr>
            <w:r>
              <w:t xml:space="preserve">203 of 1015 researchers that answered free text questions</w:t>
            </w:r>
          </w:p>
        </w:tc>
        <w:tc>
          <w:tcPr/>
          <w:p>
            <w:pPr>
              <w:pStyle w:val="Compact"/>
              <w:jc w:val="center"/>
            </w:pPr>
            <w:r>
              <w:t xml:space="preserve">The full survey was answered by participants in Africa, Asia, Europe, North and South America, Middle East, and Pacific Region. It is unclear who answered the free text question.</w:t>
            </w:r>
          </w:p>
        </w:tc>
        <w:tc>
          <w:tcPr/>
          <w:p>
            <w:pPr>
              <w:pStyle w:val="Compact"/>
              <w:jc w:val="center"/>
            </w:pPr>
            <w:r>
              <w:t xml:space="preserve">STROBE</w:t>
            </w:r>
          </w:p>
        </w:tc>
        <w:tc>
          <w:tcPr/>
          <w:p>
            <w:pPr>
              <w:pStyle w:val="Compact"/>
              <w:jc w:val="center"/>
            </w:pPr>
            <w:r>
              <w:t xml:space="preserve">Mixed methods survey</w:t>
            </w:r>
          </w:p>
        </w:tc>
        <w:tc>
          <w:tcPr/>
          <w:p>
            <w:pPr>
              <w:pStyle w:val="Compact"/>
              <w:jc w:val="center"/>
            </w:pPr>
            <w:r>
              <w:t xml:space="preserve">Experiences and attitudes towards STROBE</w:t>
            </w:r>
          </w:p>
        </w:tc>
        <w:tc>
          <w:tcPr/>
          <w:p>
            <w:pPr>
              <w:pStyle w:val="Compact"/>
              <w:jc w:val="center"/>
            </w:pPr>
            <w:r>
              <w:t xml:space="preserve">Valuable</w:t>
            </w:r>
          </w:p>
        </w:tc>
      </w:tr>
      <w:tr>
        <w:tc>
          <w:tcPr/>
          <w:p>
            <w:pPr>
              <w:pStyle w:val="Compact"/>
              <w:jc w:val="left"/>
            </w:pPr>
            <w:r>
              <w:t xml:space="preserve">Struthers et al., 2021</w:t>
            </w:r>
            <w:r>
              <w:t xml:space="preserve"> </w:t>
            </w:r>
            <w:r>
              <w:t xml:space="preserve">[16]</w:t>
            </w:r>
          </w:p>
        </w:tc>
        <w:tc>
          <w:tcPr/>
          <w:p>
            <w:pPr>
              <w:pStyle w:val="Compact"/>
              <w:jc w:val="center"/>
            </w:pPr>
            <w:r>
              <w:t xml:space="preserve">623 authors, 274 of whom answered free the text question</w:t>
            </w:r>
          </w:p>
        </w:tc>
        <w:tc>
          <w:tcPr/>
          <w:p>
            <w:pPr>
              <w:pStyle w:val="Compact"/>
              <w:jc w:val="center"/>
            </w:pPr>
            <w:r>
              <w:t xml:space="preserve">Not reported</w:t>
            </w:r>
          </w:p>
        </w:tc>
        <w:tc>
          <w:tcPr/>
          <w:p>
            <w:pPr>
              <w:pStyle w:val="Compact"/>
              <w:jc w:val="center"/>
            </w:pPr>
            <w:r>
              <w:t xml:space="preserve">Reporting guidelines in general</w:t>
            </w:r>
          </w:p>
        </w:tc>
        <w:tc>
          <w:tcPr/>
          <w:p>
            <w:pPr>
              <w:pStyle w:val="Compact"/>
              <w:jc w:val="center"/>
            </w:pPr>
            <w:r>
              <w:t xml:space="preserve">Mixed methods survey</w:t>
            </w:r>
          </w:p>
        </w:tc>
        <w:tc>
          <w:tcPr/>
          <w:p>
            <w:pPr>
              <w:pStyle w:val="Compact"/>
              <w:jc w:val="center"/>
            </w:pPr>
            <w:r>
              <w:t xml:space="preserve">The question asked,</w:t>
            </w:r>
            <w:r>
              <w:t xml:space="preserve"> </w:t>
            </w:r>
            <w:r>
              <w:t xml:space="preserve">“</w:t>
            </w:r>
            <w:r>
              <w:t xml:space="preserve">What could I do to improve the guideline?</w:t>
            </w:r>
            <w:r>
              <w:t xml:space="preserve">”</w:t>
            </w:r>
          </w:p>
        </w:tc>
        <w:tc>
          <w:tcPr/>
          <w:p>
            <w:pPr>
              <w:pStyle w:val="Compact"/>
              <w:jc w:val="center"/>
            </w:pPr>
            <w:r>
              <w:t xml:space="preserve">Fairly valuable</w:t>
            </w:r>
          </w:p>
        </w:tc>
      </w:tr>
      <w:tr>
        <w:tc>
          <w:tcPr/>
          <w:p>
            <w:pPr>
              <w:pStyle w:val="Compact"/>
              <w:jc w:val="left"/>
            </w:pPr>
            <w:r>
              <w:t xml:space="preserve">Svensøy et al., 2021</w:t>
            </w:r>
            <w:r>
              <w:t xml:space="preserve"> </w:t>
            </w:r>
            <w:r>
              <w:t xml:space="preserve">[17]</w:t>
            </w:r>
          </w:p>
        </w:tc>
        <w:tc>
          <w:tcPr/>
          <w:p>
            <w:pPr>
              <w:pStyle w:val="Compact"/>
              <w:jc w:val="center"/>
            </w:pPr>
            <w:r>
              <w:t xml:space="preserve">10 authors</w:t>
            </w:r>
          </w:p>
        </w:tc>
        <w:tc>
          <w:tcPr/>
          <w:p>
            <w:pPr>
              <w:pStyle w:val="Compact"/>
              <w:jc w:val="center"/>
            </w:pPr>
            <w:r>
              <w:t xml:space="preserve">Not reported</w:t>
            </w:r>
          </w:p>
        </w:tc>
        <w:tc>
          <w:tcPr/>
          <w:p>
            <w:pPr>
              <w:pStyle w:val="Compact"/>
              <w:jc w:val="center"/>
            </w:pPr>
            <w:r>
              <w:t xml:space="preserve">Not specified</w:t>
            </w:r>
          </w:p>
        </w:tc>
        <w:tc>
          <w:tcPr/>
          <w:p>
            <w:pPr>
              <w:pStyle w:val="Compact"/>
              <w:jc w:val="center"/>
            </w:pPr>
            <w:r>
              <w:t xml:space="preserve">Semi structured interviews</w:t>
            </w:r>
          </w:p>
        </w:tc>
        <w:tc>
          <w:tcPr/>
          <w:p>
            <w:pPr>
              <w:pStyle w:val="Compact"/>
              <w:jc w:val="center"/>
            </w:pPr>
            <w:r>
              <w:t xml:space="preserve">Experiences using guidelines or templates</w:t>
            </w:r>
          </w:p>
        </w:tc>
        <w:tc>
          <w:tcPr/>
          <w:p>
            <w:pPr>
              <w:pStyle w:val="Compact"/>
              <w:jc w:val="center"/>
            </w:pPr>
            <w:r>
              <w:t xml:space="preserve">Valuable</w:t>
            </w:r>
          </w:p>
        </w:tc>
      </w:tr>
      <w:tr>
        <w:tc>
          <w:tcPr/>
          <w:p>
            <w:pPr>
              <w:pStyle w:val="Compact"/>
              <w:jc w:val="left"/>
            </w:pPr>
            <w:r>
              <w:t xml:space="preserve">Tam et al., 2019</w:t>
            </w:r>
            <w:r>
              <w:t xml:space="preserve"> </w:t>
            </w:r>
            <w:r>
              <w:t xml:space="preserve">[18]</w:t>
            </w:r>
          </w:p>
        </w:tc>
        <w:tc>
          <w:tcPr/>
          <w:p>
            <w:pPr>
              <w:pStyle w:val="Compact"/>
              <w:jc w:val="center"/>
            </w:pPr>
            <w:r>
              <w:t xml:space="preserve">230 authors, 62 of whom answered the open-ended questions</w:t>
            </w:r>
          </w:p>
        </w:tc>
        <w:tc>
          <w:tcPr/>
          <w:p>
            <w:pPr>
              <w:pStyle w:val="Compact"/>
              <w:jc w:val="center"/>
            </w:pPr>
            <w:r>
              <w:t xml:space="preserve">Not reported</w:t>
            </w:r>
          </w:p>
        </w:tc>
        <w:tc>
          <w:tcPr/>
          <w:p>
            <w:pPr>
              <w:pStyle w:val="Compact"/>
              <w:jc w:val="center"/>
            </w:pPr>
            <w:r>
              <w:t xml:space="preserve">PRISMA</w:t>
            </w:r>
          </w:p>
        </w:tc>
        <w:tc>
          <w:tcPr/>
          <w:p>
            <w:pPr>
              <w:pStyle w:val="Compact"/>
              <w:jc w:val="center"/>
            </w:pPr>
            <w:r>
              <w:t xml:space="preserve">Mixed methods survey</w:t>
            </w:r>
          </w:p>
        </w:tc>
        <w:tc>
          <w:tcPr/>
          <w:p>
            <w:pPr>
              <w:pStyle w:val="Compact"/>
              <w:jc w:val="center"/>
            </w:pPr>
            <w:r>
              <w:t xml:space="preserve">Opinions on PRISMA</w:t>
            </w:r>
          </w:p>
        </w:tc>
        <w:tc>
          <w:tcPr/>
          <w:p>
            <w:pPr>
              <w:pStyle w:val="Compact"/>
              <w:jc w:val="center"/>
            </w:pPr>
            <w:r>
              <w:t xml:space="preserve">Fairly valuable</w:t>
            </w:r>
          </w:p>
        </w:tc>
      </w:tr>
    </w:tbl>
    <w:bookmarkEnd w:id="20"/>
    <w:bookmarkStart w:id="52" w:name="refs"/>
    <w:bookmarkStart w:id="21" w:name="ref-burfordTestingPRISMAEquity20122013"/>
    <w:p>
      <w:pPr>
        <w:pStyle w:val="Bibliography"/>
      </w:pPr>
      <w:r>
        <w:t xml:space="preserve">1.</w:t>
      </w:r>
      <w:r>
        <w:t xml:space="preserve"> </w:t>
      </w:r>
      <w:r>
        <w:t xml:space="preserve">	</w:t>
      </w:r>
      <w:r>
        <w:t xml:space="preserve">Burford BJ, Welch V, Waters E, Tugwell P, Moher D, O’Neill J, Koehlmoos T, Petticrew M (2013) Testing the</w:t>
      </w:r>
      <w:r>
        <w:t xml:space="preserve"> </w:t>
      </w:r>
      <w:r>
        <w:t xml:space="preserve">PRISMA-Equity</w:t>
      </w:r>
      <w:r>
        <w:t xml:space="preserve"> </w:t>
      </w:r>
      <w:r>
        <w:t xml:space="preserve">2012 reporting guideline: The perspectives of systematic review authors. PloS one 8:e75122</w:t>
      </w:r>
    </w:p>
    <w:bookmarkEnd w:id="21"/>
    <w:bookmarkStart w:id="23" w:name="ref-daviesSQUIREGuidelinesEvaluation2015"/>
    <w:p>
      <w:pPr>
        <w:pStyle w:val="Bibliography"/>
      </w:pPr>
      <w:r>
        <w:t xml:space="preserve">2.</w:t>
      </w:r>
      <w:r>
        <w:t xml:space="preserve"> </w:t>
      </w:r>
      <w:r>
        <w:t xml:space="preserve">	</w:t>
      </w:r>
      <w:r>
        <w:t xml:space="preserve">Davies L, Batalden P, Davidoff F, Stevens D, Ogrinc G (2015)</w:t>
      </w:r>
      <w:r>
        <w:t xml:space="preserve"> </w:t>
      </w:r>
      <w:hyperlink r:id="rId22">
        <w:r>
          <w:rPr>
            <w:rStyle w:val="Hyperlink"/>
          </w:rPr>
          <w:t xml:space="preserve">The</w:t>
        </w:r>
        <w:r>
          <w:rPr>
            <w:rStyle w:val="Hyperlink"/>
          </w:rPr>
          <w:t xml:space="preserve"> </w:t>
        </w:r>
        <w:r>
          <w:rPr>
            <w:rStyle w:val="Hyperlink"/>
          </w:rPr>
          <w:t xml:space="preserve">SQUIRE Guidelines</w:t>
        </w:r>
        <w:r>
          <w:rPr>
            <w:rStyle w:val="Hyperlink"/>
          </w:rPr>
          <w:t xml:space="preserve">: An evaluation from the field, 5</w:t>
        </w:r>
        <w:r>
          <w:rPr>
            <w:rStyle w:val="Hyperlink"/>
          </w:rPr>
          <w:t xml:space="preserve">years post release</w:t>
        </w:r>
      </w:hyperlink>
      <w:r>
        <w:t xml:space="preserve">. BMJ quality &amp; safety 24:769–775</w:t>
      </w:r>
    </w:p>
    <w:bookmarkEnd w:id="23"/>
    <w:bookmarkStart w:id="25" w:name="ref-daviesFindingsNovelApproach2016"/>
    <w:p>
      <w:pPr>
        <w:pStyle w:val="Bibliography"/>
      </w:pPr>
      <w:r>
        <w:t xml:space="preserve">3.</w:t>
      </w:r>
      <w:r>
        <w:t xml:space="preserve"> </w:t>
      </w:r>
      <w:r>
        <w:t xml:space="preserve">	</w:t>
      </w:r>
      <w:r>
        <w:t xml:space="preserve">Davies L, Donnelly KZ, Goodman DJ, Ogrinc G (2016)</w:t>
      </w:r>
      <w:r>
        <w:t xml:space="preserve"> </w:t>
      </w:r>
      <w:hyperlink r:id="rId24">
        <w:r>
          <w:rPr>
            <w:rStyle w:val="Hyperlink"/>
          </w:rPr>
          <w:t xml:space="preserve">Findings from a novel approach to publication guideline revision: User road testing of a draft version of</w:t>
        </w:r>
        <w:r>
          <w:rPr>
            <w:rStyle w:val="Hyperlink"/>
          </w:rPr>
          <w:t xml:space="preserve"> </w:t>
        </w:r>
        <w:r>
          <w:rPr>
            <w:rStyle w:val="Hyperlink"/>
          </w:rPr>
          <w:t xml:space="preserve">SQUIRE</w:t>
        </w:r>
        <w:r>
          <w:rPr>
            <w:rStyle w:val="Hyperlink"/>
          </w:rPr>
          <w:t xml:space="preserve"> </w:t>
        </w:r>
        <w:r>
          <w:rPr>
            <w:rStyle w:val="Hyperlink"/>
          </w:rPr>
          <w:t xml:space="preserve">2.0</w:t>
        </w:r>
      </w:hyperlink>
      <w:r>
        <w:t xml:space="preserve">. BMJ quality &amp; safety 25:265–272</w:t>
      </w:r>
    </w:p>
    <w:bookmarkEnd w:id="25"/>
    <w:bookmarkStart w:id="27" w:name="ref-devriesProtocolFormatPreparation2015"/>
    <w:p>
      <w:pPr>
        <w:pStyle w:val="Bibliography"/>
      </w:pPr>
      <w:r>
        <w:t xml:space="preserve">4.</w:t>
      </w:r>
      <w:r>
        <w:t xml:space="preserve"> </w:t>
      </w:r>
      <w:r>
        <w:t xml:space="preserve">	</w:t>
      </w:r>
      <w:r>
        <w:t xml:space="preserve">de Vries RBM, Hooijmans CR, Langendam MW, van Luijk J, Leenaars M, Ritskes-Hoitinga M, Wever KE (2015)</w:t>
      </w:r>
      <w:r>
        <w:t xml:space="preserve"> </w:t>
      </w:r>
      <w:hyperlink r:id="rId26">
        <w:r>
          <w:rPr>
            <w:rStyle w:val="Hyperlink"/>
          </w:rPr>
          <w:t xml:space="preserve">A protocol format for the preparation, registration and publication of systematic reviews of animal intervention studies</w:t>
        </w:r>
      </w:hyperlink>
      <w:r>
        <w:t xml:space="preserve">. Evidence-based Preclinical Medicine 2:e00007</w:t>
      </w:r>
    </w:p>
    <w:bookmarkEnd w:id="27"/>
    <w:bookmarkStart w:id="29" w:name="ref-deweyImpactPerceivedValue2019"/>
    <w:p>
      <w:pPr>
        <w:pStyle w:val="Bibliography"/>
      </w:pPr>
      <w:r>
        <w:t xml:space="preserve">5.</w:t>
      </w:r>
      <w:r>
        <w:t xml:space="preserve"> </w:t>
      </w:r>
      <w:r>
        <w:t xml:space="preserve">	</w:t>
      </w:r>
      <w:r>
        <w:t xml:space="preserve">Dewey M, Levine D, Bossuyt PM, Kressel HY (2019)</w:t>
      </w:r>
      <w:r>
        <w:t xml:space="preserve"> </w:t>
      </w:r>
      <w:hyperlink r:id="rId28">
        <w:r>
          <w:rPr>
            <w:rStyle w:val="Hyperlink"/>
          </w:rPr>
          <w:t xml:space="preserve">Impact and perceived value of journal reporting guidelines among</w:t>
        </w:r>
        <w:r>
          <w:rPr>
            <w:rStyle w:val="Hyperlink"/>
          </w:rPr>
          <w:t xml:space="preserve"> </w:t>
        </w:r>
        <w:r>
          <w:rPr>
            <w:rStyle w:val="Hyperlink"/>
          </w:rPr>
          <w:t xml:space="preserve">Radiology</w:t>
        </w:r>
        <w:r>
          <w:rPr>
            <w:rStyle w:val="Hyperlink"/>
          </w:rPr>
          <w:t xml:space="preserve"> </w:t>
        </w:r>
        <w:r>
          <w:rPr>
            <w:rStyle w:val="Hyperlink"/>
          </w:rPr>
          <w:t xml:space="preserve">authors and reviewers</w:t>
        </w:r>
      </w:hyperlink>
      <w:r>
        <w:t xml:space="preserve">. European Radiology 29:3986–3995</w:t>
      </w:r>
    </w:p>
    <w:bookmarkEnd w:id="29"/>
    <w:bookmarkStart w:id="30" w:name="Xbb8e36e9eabfc341c5b76cbb2a5772ca74c1b07"/>
    <w:p>
      <w:pPr>
        <w:pStyle w:val="Bibliography"/>
      </w:pPr>
      <w:r>
        <w:t xml:space="preserve">6.</w:t>
      </w:r>
      <w:r>
        <w:t xml:space="preserve"> </w:t>
      </w:r>
      <w:r>
        <w:t xml:space="preserve">	</w:t>
      </w:r>
      <w:r>
        <w:t xml:space="preserve">Eysenbach G. (2013)</w:t>
      </w:r>
      <w:r>
        <w:t xml:space="preserve"> </w:t>
      </w:r>
      <w:r>
        <w:t xml:space="preserve">CONSORT-EHEALTH</w:t>
      </w:r>
      <w:r>
        <w:t xml:space="preserve">: Implementation of a checklist for authors and editors to improve reporting of web-based and mobile randomized controlled trials. Studies in health technology and informatics 192:657–661</w:t>
      </w:r>
    </w:p>
    <w:bookmarkEnd w:id="30"/>
    <w:bookmarkStart w:id="32" w:name="ref-fullerWhatAffectsAuthors2015"/>
    <w:p>
      <w:pPr>
        <w:pStyle w:val="Bibliography"/>
      </w:pPr>
      <w:r>
        <w:t xml:space="preserve">7.</w:t>
      </w:r>
      <w:r>
        <w:t xml:space="preserve"> </w:t>
      </w:r>
      <w:r>
        <w:t xml:space="preserve">	</w:t>
      </w:r>
      <w:r>
        <w:t xml:space="preserve">Fuller T, Pearson M, Peters J, Anderson R (2015)</w:t>
      </w:r>
      <w:r>
        <w:t xml:space="preserve"> </w:t>
      </w:r>
      <w:hyperlink r:id="rId31">
        <w:r>
          <w:rPr>
            <w:rStyle w:val="Hyperlink"/>
          </w:rPr>
          <w:t xml:space="preserve">What affects authors’ and editors’ use of reporting guidelines?</w:t>
        </w:r>
        <w:r>
          <w:rPr>
            <w:rStyle w:val="Hyperlink"/>
          </w:rPr>
          <w:t xml:space="preserve"> </w:t>
        </w:r>
        <w:r>
          <w:rPr>
            <w:rStyle w:val="Hyperlink"/>
          </w:rPr>
          <w:t xml:space="preserve">Findings</w:t>
        </w:r>
        <w:r>
          <w:rPr>
            <w:rStyle w:val="Hyperlink"/>
          </w:rPr>
          <w:t xml:space="preserve"> </w:t>
        </w:r>
        <w:r>
          <w:rPr>
            <w:rStyle w:val="Hyperlink"/>
          </w:rPr>
          <w:t xml:space="preserve">from an online survey and qualitative interviews.</w:t>
        </w:r>
      </w:hyperlink>
      <w:r>
        <w:t xml:space="preserve"> PLoS ONE 10:e0121585</w:t>
      </w:r>
    </w:p>
    <w:bookmarkEnd w:id="32"/>
    <w:bookmarkStart w:id="33" w:name="Xa745f3c182cec1679b2b4fac2aeff3666166499"/>
    <w:p>
      <w:pPr>
        <w:pStyle w:val="Bibliography"/>
      </w:pPr>
      <w:r>
        <w:t xml:space="preserve">8.</w:t>
      </w:r>
      <w:r>
        <w:t xml:space="preserve"> </w:t>
      </w:r>
      <w:r>
        <w:t xml:space="preserve">	</w:t>
      </w:r>
      <w:r>
        <w:t xml:space="preserve">Korevaar DA, Cohen JF, Reitsma JB, et al (2016) Updating standards for reporting diagnostic accuracy: The development of</w:t>
      </w:r>
      <w:r>
        <w:t xml:space="preserve"> </w:t>
      </w:r>
      <w:r>
        <w:t xml:space="preserve">STARD</w:t>
      </w:r>
      <w:r>
        <w:t xml:space="preserve"> </w:t>
      </w:r>
      <w:r>
        <w:t xml:space="preserve">2015. Research integrity and peer review 1:7</w:t>
      </w:r>
    </w:p>
    <w:bookmarkEnd w:id="33"/>
    <w:bookmarkStart w:id="35" w:name="ref-macleodMDARMaterialsDesign2021"/>
    <w:p>
      <w:pPr>
        <w:pStyle w:val="Bibliography"/>
      </w:pPr>
      <w:r>
        <w:t xml:space="preserve">9.</w:t>
      </w:r>
      <w:r>
        <w:t xml:space="preserve"> </w:t>
      </w:r>
      <w:r>
        <w:t xml:space="preserve">	</w:t>
      </w:r>
      <w:r>
        <w:t xml:space="preserve">Macleod M, Collings AM, Graf C, Kiermer V, Mellor D, Swaminathan S, Sweet D, Vinson V (2021)</w:t>
      </w:r>
      <w:r>
        <w:t xml:space="preserve"> </w:t>
      </w:r>
      <w:hyperlink r:id="rId34">
        <w:r>
          <w:rPr>
            <w:rStyle w:val="Hyperlink"/>
          </w:rPr>
          <w:t xml:space="preserve">The</w:t>
        </w:r>
        <w:r>
          <w:rPr>
            <w:rStyle w:val="Hyperlink"/>
          </w:rPr>
          <w:t xml:space="preserve"> </w:t>
        </w:r>
        <w:r>
          <w:rPr>
            <w:rStyle w:val="Hyperlink"/>
          </w:rPr>
          <w:t xml:space="preserve">MDAR</w:t>
        </w:r>
        <w:r>
          <w:rPr>
            <w:rStyle w:val="Hyperlink"/>
          </w:rPr>
          <w:t xml:space="preserve"> </w:t>
        </w:r>
        <w:r>
          <w:rPr>
            <w:rStyle w:val="Hyperlink"/>
          </w:rPr>
          <w:t xml:space="preserve">(</w:t>
        </w:r>
        <w:r>
          <w:rPr>
            <w:rStyle w:val="Hyperlink"/>
          </w:rPr>
          <w:t xml:space="preserve">Materials Design Analysis Reporting</w:t>
        </w:r>
        <w:r>
          <w:rPr>
            <w:rStyle w:val="Hyperlink"/>
          </w:rPr>
          <w:t xml:space="preserve">)</w:t>
        </w:r>
        <w:r>
          <w:rPr>
            <w:rStyle w:val="Hyperlink"/>
          </w:rPr>
          <w:t xml:space="preserve"> </w:t>
        </w:r>
        <w:r>
          <w:rPr>
            <w:rStyle w:val="Hyperlink"/>
          </w:rPr>
          <w:t xml:space="preserve">Framework</w:t>
        </w:r>
        <w:r>
          <w:rPr>
            <w:rStyle w:val="Hyperlink"/>
          </w:rPr>
          <w:t xml:space="preserve"> </w:t>
        </w:r>
        <w:r>
          <w:rPr>
            <w:rStyle w:val="Hyperlink"/>
          </w:rPr>
          <w:t xml:space="preserve">for transparent reporting in the life sciences</w:t>
        </w:r>
      </w:hyperlink>
      <w:r>
        <w:t xml:space="preserve">. Proceedings of the National Academy of Sciences 118:e2103238118</w:t>
      </w:r>
    </w:p>
    <w:bookmarkEnd w:id="35"/>
    <w:bookmarkStart w:id="37" w:name="ref-pageUpdatingGuidanceReporting2021"/>
    <w:p>
      <w:pPr>
        <w:pStyle w:val="Bibliography"/>
      </w:pPr>
      <w:r>
        <w:t xml:space="preserve">10.</w:t>
      </w:r>
      <w:r>
        <w:t xml:space="preserve"> </w:t>
      </w:r>
      <w:r>
        <w:t xml:space="preserve">	</w:t>
      </w:r>
      <w:r>
        <w:t xml:space="preserve">Page MJ, McKenzie JE, Bossuyt PM, Boutron I, Hoffmann TC, Mulrow CD, Shamseer L, Tetzlaff JM, Moher D (2021)</w:t>
      </w:r>
      <w:r>
        <w:t xml:space="preserve"> </w:t>
      </w:r>
      <w:hyperlink r:id="rId36">
        <w:r>
          <w:rPr>
            <w:rStyle w:val="Hyperlink"/>
          </w:rPr>
          <w:t xml:space="preserve">Updating guidance for reporting systematic reviews: Development of the</w:t>
        </w:r>
        <w:r>
          <w:rPr>
            <w:rStyle w:val="Hyperlink"/>
          </w:rPr>
          <w:t xml:space="preserve"> </w:t>
        </w:r>
        <w:r>
          <w:rPr>
            <w:rStyle w:val="Hyperlink"/>
          </w:rPr>
          <w:t xml:space="preserve">PRISMA</w:t>
        </w:r>
        <w:r>
          <w:rPr>
            <w:rStyle w:val="Hyperlink"/>
          </w:rPr>
          <w:t xml:space="preserve"> </w:t>
        </w:r>
        <w:r>
          <w:rPr>
            <w:rStyle w:val="Hyperlink"/>
          </w:rPr>
          <w:t xml:space="preserve">2020 statement</w:t>
        </w:r>
      </w:hyperlink>
      <w:r>
        <w:t xml:space="preserve">. Journal of Clinical Epidemiology 134:103–112</w:t>
      </w:r>
    </w:p>
    <w:bookmarkEnd w:id="37"/>
    <w:bookmarkStart w:id="39" w:name="ref-pradyAssessingUtilityStandards2007"/>
    <w:p>
      <w:pPr>
        <w:pStyle w:val="Bibliography"/>
      </w:pPr>
      <w:r>
        <w:t xml:space="preserve">11.</w:t>
      </w:r>
      <w:r>
        <w:t xml:space="preserve"> </w:t>
      </w:r>
      <w:r>
        <w:t xml:space="preserve">	</w:t>
      </w:r>
      <w:r>
        <w:t xml:space="preserve">Prady SL, MacPherson H (2007)</w:t>
      </w:r>
      <w:r>
        <w:t xml:space="preserve"> </w:t>
      </w:r>
      <w:hyperlink r:id="rId38">
        <w:r>
          <w:rPr>
            <w:rStyle w:val="Hyperlink"/>
          </w:rPr>
          <w:t xml:space="preserve">Assessing the utility of the standards for reporting trials of acupuncture (</w:t>
        </w:r>
        <w:r>
          <w:rPr>
            <w:rStyle w:val="Hyperlink"/>
          </w:rPr>
          <w:t xml:space="preserve">STRICTA</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survey of authors</w:t>
        </w:r>
      </w:hyperlink>
      <w:r>
        <w:t xml:space="preserve">. The Journal of Alternative and Complementary Medicine 13:939–943</w:t>
      </w:r>
    </w:p>
    <w:bookmarkEnd w:id="39"/>
    <w:bookmarkStart w:id="41" w:name="ref-pragerBarriersReportingGuideline2021"/>
    <w:p>
      <w:pPr>
        <w:pStyle w:val="Bibliography"/>
      </w:pPr>
      <w:r>
        <w:t xml:space="preserve">12.</w:t>
      </w:r>
      <w:r>
        <w:t xml:space="preserve"> </w:t>
      </w:r>
      <w:r>
        <w:t xml:space="preserve">	</w:t>
      </w:r>
      <w:r>
        <w:t xml:space="preserve">Prager R, Gagnon L, Bowdridge J, Unni RR, McGrath TA, Cobey K, Bossuyt PM, McInnes MDF (2021)</w:t>
      </w:r>
      <w:r>
        <w:t xml:space="preserve"> </w:t>
      </w:r>
      <w:hyperlink r:id="rId40">
        <w:r>
          <w:rPr>
            <w:rStyle w:val="Hyperlink"/>
          </w:rPr>
          <w:t xml:space="preserve">Barriers to reporting guideline adherence in point-of-care ultrasound research: A cross-sectional survey of authors and journal editors</w:t>
        </w:r>
      </w:hyperlink>
      <w:r>
        <w:t xml:space="preserve">. BMJ Evidence-Based Medicine bmjebm-2020-111604</w:t>
      </w:r>
    </w:p>
    <w:bookmarkEnd w:id="41"/>
    <w:bookmarkStart w:id="42" w:name="X7bb2eef00b82eee7040098ed1af6ffb9f6c8fa4"/>
    <w:p>
      <w:pPr>
        <w:pStyle w:val="Bibliography"/>
      </w:pPr>
      <w:r>
        <w:t xml:space="preserve">13.</w:t>
      </w:r>
      <w:r>
        <w:t xml:space="preserve"> </w:t>
      </w:r>
      <w:r>
        <w:t xml:space="preserve">	</w:t>
      </w:r>
      <w:r>
        <w:t xml:space="preserve">Rader T., Mann M., Stansfield C., Cooper C., Sampson M. (2014) Methods for documenting systematic review searches: A discussion of common issues. Research synthesis methods 5:98–115</w:t>
      </w:r>
    </w:p>
    <w:bookmarkEnd w:id="42"/>
    <w:bookmarkStart w:id="44" w:name="ref-sertARRIVEGuidelinesUpdated2020"/>
    <w:p>
      <w:pPr>
        <w:pStyle w:val="Bibliography"/>
      </w:pPr>
      <w:r>
        <w:t xml:space="preserve">14.</w:t>
      </w:r>
      <w:r>
        <w:t xml:space="preserve"> </w:t>
      </w:r>
      <w:r>
        <w:t xml:space="preserve">	</w:t>
      </w:r>
      <w:r>
        <w:t xml:space="preserve">Sert NP du, Hurst V, Ahluwalia A, et al (2020)</w:t>
      </w:r>
      <w:r>
        <w:t xml:space="preserve"> </w:t>
      </w:r>
      <w:hyperlink r:id="rId43">
        <w:r>
          <w:rPr>
            <w:rStyle w:val="Hyperlink"/>
          </w:rPr>
          <w:t xml:space="preserve">The</w:t>
        </w:r>
        <w:r>
          <w:rPr>
            <w:rStyle w:val="Hyperlink"/>
          </w:rPr>
          <w:t xml:space="preserve"> </w:t>
        </w:r>
        <w:r>
          <w:rPr>
            <w:rStyle w:val="Hyperlink"/>
          </w:rPr>
          <w:t xml:space="preserve">ARRIVE</w:t>
        </w:r>
        <w:r>
          <w:rPr>
            <w:rStyle w:val="Hyperlink"/>
          </w:rPr>
          <w:t xml:space="preserve"> </w:t>
        </w:r>
        <w:r>
          <w:rPr>
            <w:rStyle w:val="Hyperlink"/>
          </w:rPr>
          <w:t xml:space="preserve">guidelines 2.0:</w:t>
        </w:r>
        <w:r>
          <w:rPr>
            <w:rStyle w:val="Hyperlink"/>
          </w:rPr>
          <w:t xml:space="preserve"> </w:t>
        </w:r>
        <w:r>
          <w:rPr>
            <w:rStyle w:val="Hyperlink"/>
          </w:rPr>
          <w:t xml:space="preserve">Updated</w:t>
        </w:r>
        <w:r>
          <w:rPr>
            <w:rStyle w:val="Hyperlink"/>
          </w:rPr>
          <w:t xml:space="preserve"> </w:t>
        </w:r>
        <w:r>
          <w:rPr>
            <w:rStyle w:val="Hyperlink"/>
          </w:rPr>
          <w:t xml:space="preserve">guidelines for reporting animal research</w:t>
        </w:r>
      </w:hyperlink>
      <w:r>
        <w:t xml:space="preserve">. PLOS Biology 18:e3000410</w:t>
      </w:r>
    </w:p>
    <w:bookmarkEnd w:id="44"/>
    <w:bookmarkStart w:id="45" w:name="ref-sharpOnlineSurveySTROBE2020"/>
    <w:p>
      <w:pPr>
        <w:pStyle w:val="Bibliography"/>
      </w:pPr>
      <w:r>
        <w:t xml:space="preserve">15.</w:t>
      </w:r>
      <w:r>
        <w:t xml:space="preserve"> </w:t>
      </w:r>
      <w:r>
        <w:t xml:space="preserve">	</w:t>
      </w:r>
      <w:r>
        <w:t xml:space="preserve">Sharp MK, Glonti K, Hren D (2020) Online survey about the</w:t>
      </w:r>
      <w:r>
        <w:t xml:space="preserve"> </w:t>
      </w:r>
      <w:r>
        <w:t xml:space="preserve">STROBE</w:t>
      </w:r>
      <w:r>
        <w:t xml:space="preserve"> </w:t>
      </w:r>
      <w:r>
        <w:t xml:space="preserve">statement highlighted diverging views about its content, purpose, and value. Journal of clinical epidemiology 123:100–106</w:t>
      </w:r>
    </w:p>
    <w:bookmarkEnd w:id="45"/>
    <w:bookmarkStart w:id="47" w:name="X690a0f161ffd510f508077af519386febce046d"/>
    <w:p>
      <w:pPr>
        <w:pStyle w:val="Bibliography"/>
      </w:pPr>
      <w:r>
        <w:t xml:space="preserve">16.</w:t>
      </w:r>
      <w:r>
        <w:t xml:space="preserve"> </w:t>
      </w:r>
      <w:r>
        <w:t xml:space="preserve">	</w:t>
      </w:r>
      <w:r>
        <w:t xml:space="preserve">Struthers C, Harwood J, de Beyer JA, Dhiman P, Logullo P, Schlüssel M (2021)</w:t>
      </w:r>
      <w:r>
        <w:t xml:space="preserve"> </w:t>
      </w:r>
      <w:hyperlink r:id="rId46">
        <w:r>
          <w:rPr>
            <w:rStyle w:val="Hyperlink"/>
          </w:rPr>
          <w:t xml:space="preserve">GoodReports</w:t>
        </w:r>
        <w:r>
          <w:rPr>
            <w:rStyle w:val="Hyperlink"/>
          </w:rPr>
          <w:t xml:space="preserve">: Developing a website to help health researchers find and use reporting guidelines</w:t>
        </w:r>
      </w:hyperlink>
      <w:r>
        <w:t xml:space="preserve">. BMC medical research methodology 21:217</w:t>
      </w:r>
    </w:p>
    <w:bookmarkEnd w:id="47"/>
    <w:bookmarkStart w:id="49" w:name="X5971da819ab33f225cbe6afcc4fa6d6b3c7ebaf"/>
    <w:p>
      <w:pPr>
        <w:pStyle w:val="Bibliography"/>
      </w:pPr>
      <w:r>
        <w:t xml:space="preserve">17.</w:t>
      </w:r>
      <w:r>
        <w:t xml:space="preserve"> </w:t>
      </w:r>
      <w:r>
        <w:t xml:space="preserve">	</w:t>
      </w:r>
      <w:r>
        <w:t xml:space="preserve">Svensøy JN, Nilsson H, Rimstad R (2021)</w:t>
      </w:r>
      <w:r>
        <w:t xml:space="preserve"> </w:t>
      </w:r>
      <w:hyperlink r:id="rId48">
        <w:r>
          <w:rPr>
            <w:rStyle w:val="Hyperlink"/>
          </w:rPr>
          <w:t xml:space="preserve">A qualitative study on researchers’ experiences after publishing scientific reports on major incidents, mass-casualty incidents, and disasters</w:t>
        </w:r>
      </w:hyperlink>
      <w:r>
        <w:t xml:space="preserve">. Prehospital and Disaster Medicine 36:536–542</w:t>
      </w:r>
    </w:p>
    <w:bookmarkEnd w:id="49"/>
    <w:bookmarkStart w:id="51" w:name="ref-tamPerceptionPreferredReporting2019"/>
    <w:p>
      <w:pPr>
        <w:pStyle w:val="Bibliography"/>
      </w:pPr>
      <w:r>
        <w:t xml:space="preserve">18.</w:t>
      </w:r>
      <w:r>
        <w:t xml:space="preserve"> </w:t>
      </w:r>
      <w:r>
        <w:t xml:space="preserve">	</w:t>
      </w:r>
      <w:r>
        <w:t xml:space="preserve">Tam WWS, Tang A, Woo B, Goh SYS (2019)</w:t>
      </w:r>
      <w:r>
        <w:t xml:space="preserve"> </w:t>
      </w:r>
      <w:hyperlink r:id="rId50">
        <w:r>
          <w:rPr>
            <w:rStyle w:val="Hyperlink"/>
          </w:rPr>
          <w:t xml:space="preserve">Perception of the</w:t>
        </w:r>
        <w:r>
          <w:rPr>
            <w:rStyle w:val="Hyperlink"/>
          </w:rPr>
          <w:t xml:space="preserve"> </w:t>
        </w:r>
        <w:r>
          <w:rPr>
            <w:rStyle w:val="Hyperlink"/>
          </w:rPr>
          <w:t xml:space="preserve">Preferred Reporting Items</w:t>
        </w:r>
        <w:r>
          <w:rPr>
            <w:rStyle w:val="Hyperlink"/>
          </w:rPr>
          <w:t xml:space="preserve"> </w:t>
        </w:r>
        <w:r>
          <w:rPr>
            <w:rStyle w:val="Hyperlink"/>
          </w:rPr>
          <w:t xml:space="preserve">for</w:t>
        </w:r>
        <w:r>
          <w:rPr>
            <w:rStyle w:val="Hyperlink"/>
          </w:rPr>
          <w:t xml:space="preserve"> </w:t>
        </w:r>
        <w:r>
          <w:rPr>
            <w:rStyle w:val="Hyperlink"/>
          </w:rPr>
          <w:t xml:space="preserve">Systematic Reviews</w:t>
        </w:r>
        <w:r>
          <w:rPr>
            <w:rStyle w:val="Hyperlink"/>
          </w:rPr>
          <w:t xml:space="preserve"> </w:t>
        </w:r>
        <w:r>
          <w:rPr>
            <w:rStyle w:val="Hyperlink"/>
          </w:rPr>
          <w:t xml:space="preserve">and</w:t>
        </w:r>
        <w:r>
          <w:rPr>
            <w:rStyle w:val="Hyperlink"/>
          </w:rPr>
          <w:t xml:space="preserve"> </w:t>
        </w:r>
        <w:r>
          <w:rPr>
            <w:rStyle w:val="Hyperlink"/>
          </w:rPr>
          <w:t xml:space="preserve">Meta-Analyses</w:t>
        </w:r>
        <w:r>
          <w:rPr>
            <w:rStyle w:val="Hyperlink"/>
          </w:rPr>
          <w:t xml:space="preserve"> </w:t>
        </w:r>
        <w:r>
          <w:rPr>
            <w:rStyle w:val="Hyperlink"/>
          </w:rPr>
          <w:t xml:space="preserve">(</w:t>
        </w:r>
        <w:r>
          <w:rPr>
            <w:rStyle w:val="Hyperlink"/>
          </w:rPr>
          <w:t xml:space="preserve">PRISMA</w:t>
        </w:r>
        <w:r>
          <w:rPr>
            <w:rStyle w:val="Hyperlink"/>
          </w:rPr>
          <w:t xml:space="preserve">) statement of authors publishing reviews in nursing journals: A cross-sectional online survey</w:t>
        </w:r>
      </w:hyperlink>
      <w:r>
        <w:t xml:space="preserve">. BMJ Open 9:e026271</w:t>
      </w:r>
    </w:p>
    <w:bookmarkEnd w:id="51"/>
    <w:bookmarkEnd w:id="52"/>
    <w:sectPr w:rsidR="00516B30" w:rsidRPr="0047065B" w:rsidSect="00FF4898">
      <w:pgSz w:h="16838" w:w="11906"/>
      <w:pgMar w:bottom="1440" w:footer="708" w:gutter="0" w:header="708" w:left="1440" w:right="1440" w:top="144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89"/>
    <w:multiLevelType w:val="singleLevel"/>
    <w:tmpl w:val="C124FA7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
    <w:nsid w:val="40EA11D5"/>
    <w:multiLevelType w:val="multilevel"/>
    <w:tmpl w:val="16A2B0DC"/>
    <w:lvl w:ilvl="0">
      <w:start w:val="1"/>
      <w:numFmt w:val="bullet"/>
      <w:lvlText w:val=""/>
      <w:lvlJc w:val="left"/>
      <w:pPr>
        <w:ind w:hanging="360" w:left="720"/>
      </w:pPr>
      <w:rPr>
        <w:rFonts w:ascii="Symbol" w:cstheme="minorBidi" w:eastAsiaTheme="minorHAnsi"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hAnsi="Wingdings"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2">
    <w:nsid w:val="7B2A5B62"/>
    <w:multiLevelType w:val="hybridMultilevel"/>
    <w:tmpl w:val="B13CDC2E"/>
    <w:lvl w:ilvl="0" w:tplc="93802ED8">
      <w:start w:val="1"/>
      <w:numFmt w:val="bullet"/>
      <w:pStyle w:val="small-list"/>
      <w:lvlText w:val=""/>
      <w:lvlJc w:val="left"/>
      <w:pPr>
        <w:ind w:hanging="360" w:left="720"/>
      </w:pPr>
      <w:rPr>
        <w:rFonts w:ascii="Symbol" w:cstheme="minorBidi" w:eastAsiaTheme="minorHAnsi" w:hAnsi="Symbol" w:hint="default"/>
      </w:rPr>
    </w:lvl>
    <w:lvl w:ilvl="1" w:tentative="1" w:tplc="08090003">
      <w:start w:val="1"/>
      <w:numFmt w:val="bullet"/>
      <w:lvlText w:val="o"/>
      <w:lvlJc w:val="left"/>
      <w:pPr>
        <w:ind w:hanging="360" w:left="1440"/>
      </w:pPr>
      <w:rPr>
        <w:rFonts w:ascii="Courier New" w:cs="Courier New" w:hAnsi="Courier New" w:hint="default"/>
      </w:rPr>
    </w:lvl>
    <w:lvl w:ilvl="2" w:tentative="1" w:tplc="08090005">
      <w:start w:val="1"/>
      <w:numFmt w:val="bullet"/>
      <w:lvlText w:val=""/>
      <w:lvlJc w:val="left"/>
      <w:pPr>
        <w:ind w:hanging="360" w:left="2160"/>
      </w:pPr>
      <w:rPr>
        <w:rFonts w:ascii="Wingdings" w:hAnsi="Wingdings" w:hint="default"/>
      </w:rPr>
    </w:lvl>
    <w:lvl w:ilvl="3" w:tentative="1" w:tplc="08090001">
      <w:start w:val="1"/>
      <w:numFmt w:val="bullet"/>
      <w:lvlText w:val=""/>
      <w:lvlJc w:val="left"/>
      <w:pPr>
        <w:ind w:hanging="360" w:left="2880"/>
      </w:pPr>
      <w:rPr>
        <w:rFonts w:ascii="Symbol" w:hAnsi="Symbol" w:hint="default"/>
      </w:rPr>
    </w:lvl>
    <w:lvl w:ilvl="4" w:tentative="1" w:tplc="08090003">
      <w:start w:val="1"/>
      <w:numFmt w:val="bullet"/>
      <w:lvlText w:val="o"/>
      <w:lvlJc w:val="left"/>
      <w:pPr>
        <w:ind w:hanging="360" w:left="3600"/>
      </w:pPr>
      <w:rPr>
        <w:rFonts w:ascii="Courier New" w:cs="Courier New" w:hAnsi="Courier New" w:hint="default"/>
      </w:rPr>
    </w:lvl>
    <w:lvl w:ilvl="5" w:tentative="1" w:tplc="08090005">
      <w:start w:val="1"/>
      <w:numFmt w:val="bullet"/>
      <w:lvlText w:val=""/>
      <w:lvlJc w:val="left"/>
      <w:pPr>
        <w:ind w:hanging="360" w:left="4320"/>
      </w:pPr>
      <w:rPr>
        <w:rFonts w:ascii="Wingdings" w:hAnsi="Wingdings" w:hint="default"/>
      </w:rPr>
    </w:lvl>
    <w:lvl w:ilvl="6" w:tentative="1" w:tplc="08090001">
      <w:start w:val="1"/>
      <w:numFmt w:val="bullet"/>
      <w:lvlText w:val=""/>
      <w:lvlJc w:val="left"/>
      <w:pPr>
        <w:ind w:hanging="360" w:left="5040"/>
      </w:pPr>
      <w:rPr>
        <w:rFonts w:ascii="Symbol" w:hAnsi="Symbol" w:hint="default"/>
      </w:rPr>
    </w:lvl>
    <w:lvl w:ilvl="7" w:tentative="1" w:tplc="08090003">
      <w:start w:val="1"/>
      <w:numFmt w:val="bullet"/>
      <w:lvlText w:val="o"/>
      <w:lvlJc w:val="left"/>
      <w:pPr>
        <w:ind w:hanging="360" w:left="5760"/>
      </w:pPr>
      <w:rPr>
        <w:rFonts w:ascii="Courier New" w:cs="Courier New" w:hAnsi="Courier New" w:hint="default"/>
      </w:rPr>
    </w:lvl>
    <w:lvl w:ilvl="8" w:tentative="1" w:tplc="08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838378926" w:numId="1">
    <w:abstractNumId w:val="2"/>
  </w:num>
  <w:num w16cid:durableId="2019887913" w:numId="2">
    <w:abstractNumId w:val="0"/>
  </w:num>
  <w:num w16cid:durableId="1488134535" w:numId="3">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GB" w:val="en-GB"/>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3F63CE"/>
    <w:pPr>
      <w:spacing w:after="240" w:line="360" w:lineRule="auto"/>
    </w:pPr>
  </w:style>
  <w:style w:styleId="Heading1" w:type="paragraph">
    <w:name w:val="heading 1"/>
    <w:basedOn w:val="Normal"/>
    <w:next w:val="Normal"/>
    <w:link w:val="Heading1Char"/>
    <w:uiPriority w:val="9"/>
    <w:qFormat/>
    <w:rsid w:val="00D80FF0"/>
    <w:pPr>
      <w:keepNext/>
      <w:keepLines/>
      <w:pageBreakBefore/>
      <w:spacing w:before="360"/>
      <w:outlineLvl w:val="0"/>
    </w:pPr>
    <w:rPr>
      <w:rFonts w:ascii="Calibri" w:cs="Calibri" w:eastAsiaTheme="majorEastAsia" w:hAnsi="Calibri"/>
      <w:b/>
      <w:bCs/>
      <w:color w:themeColor="accent1" w:val="4472C4"/>
      <w:sz w:val="36"/>
      <w:szCs w:val="36"/>
    </w:rPr>
  </w:style>
  <w:style w:styleId="Heading2" w:type="paragraph">
    <w:name w:val="heading 2"/>
    <w:basedOn w:val="Normal"/>
    <w:next w:val="Normal"/>
    <w:link w:val="Heading2Char"/>
    <w:uiPriority w:val="9"/>
    <w:unhideWhenUsed/>
    <w:qFormat/>
    <w:rsid w:val="00481C80"/>
    <w:pPr>
      <w:keepNext/>
      <w:keepLines/>
      <w:spacing w:before="600"/>
      <w:outlineLvl w:val="1"/>
    </w:pPr>
    <w:rPr>
      <w:rFonts w:ascii="Calibri" w:cs="Calibri" w:eastAsiaTheme="majorEastAsia" w:hAnsi="Calibri"/>
      <w:b/>
      <w:bCs/>
      <w:color w:themeColor="accent1" w:val="4472C4"/>
      <w:sz w:val="28"/>
      <w:szCs w:val="28"/>
    </w:rPr>
  </w:style>
  <w:style w:styleId="Heading3" w:type="paragraph">
    <w:name w:val="heading 3"/>
    <w:basedOn w:val="Normal"/>
    <w:next w:val="Normal"/>
    <w:link w:val="Heading3Char"/>
    <w:uiPriority w:val="9"/>
    <w:unhideWhenUsed/>
    <w:qFormat/>
    <w:rsid w:val="00481C80"/>
    <w:pPr>
      <w:keepNext/>
      <w:keepLines/>
      <w:spacing w:before="480"/>
      <w:outlineLvl w:val="2"/>
    </w:pPr>
    <w:rPr>
      <w:rFonts w:cstheme="minorHAnsi" w:eastAsiaTheme="majorEastAsia"/>
      <w:color w:themeColor="accent1" w:themeShade="80" w:val="1F3864"/>
      <w:sz w:val="28"/>
      <w:szCs w:val="28"/>
    </w:rPr>
  </w:style>
  <w:style w:styleId="Heading4" w:type="paragraph">
    <w:name w:val="heading 4"/>
    <w:basedOn w:val="Normal"/>
    <w:next w:val="Normal"/>
    <w:link w:val="Heading4Char"/>
    <w:uiPriority w:val="9"/>
    <w:unhideWhenUsed/>
    <w:qFormat/>
    <w:rsid w:val="00481C80"/>
    <w:pPr>
      <w:keepNext/>
      <w:keepLines/>
      <w:spacing w:before="120"/>
      <w:outlineLvl w:val="3"/>
    </w:pPr>
    <w:rPr>
      <w:rFonts w:cstheme="minorHAnsi" w:eastAsiaTheme="majorEastAsia"/>
      <w:iCs/>
      <w:color w:themeColor="accent1" w:themeShade="80" w:val="1F3864"/>
    </w:rPr>
  </w:style>
  <w:style w:styleId="Heading5" w:type="paragraph">
    <w:name w:val="heading 5"/>
    <w:basedOn w:val="Normal"/>
    <w:next w:val="Normal"/>
    <w:link w:val="Heading5Char"/>
    <w:uiPriority w:val="9"/>
    <w:unhideWhenUsed/>
    <w:qFormat/>
    <w:rsid w:val="0047065B"/>
    <w:pPr>
      <w:keepNext/>
      <w:keepLines/>
      <w:spacing w:before="40"/>
      <w:outlineLvl w:val="4"/>
    </w:pPr>
    <w:rPr>
      <w:rFonts w:asciiTheme="majorHAnsi" w:cstheme="majorBidi" w:eastAsiaTheme="majorEastAsia" w:hAnsiTheme="majorHAnsi"/>
      <w:color w:themeColor="accent1" w:themeShade="BF" w:val="2F5496"/>
    </w:rPr>
  </w:style>
  <w:style w:styleId="Heading6" w:type="paragraph">
    <w:name w:val="heading 6"/>
    <w:basedOn w:val="Normal"/>
    <w:next w:val="Normal"/>
    <w:link w:val="Heading6Char"/>
    <w:uiPriority w:val="9"/>
    <w:unhideWhenUsed/>
    <w:qFormat/>
    <w:rsid w:val="0047065B"/>
    <w:pPr>
      <w:keepNext/>
      <w:keepLines/>
      <w:spacing w:before="40"/>
      <w:outlineLvl w:val="5"/>
    </w:pPr>
    <w:rPr>
      <w:rFonts w:asciiTheme="majorHAnsi" w:cstheme="majorBidi" w:eastAsiaTheme="majorEastAsia" w:hAnsiTheme="majorHAnsi"/>
      <w:color w:themeColor="accent1" w:themeShade="7F" w:val="1F3763"/>
    </w:rPr>
  </w:style>
  <w:style w:styleId="Heading7" w:type="paragraph">
    <w:name w:val="heading 7"/>
    <w:basedOn w:val="Normal"/>
    <w:next w:val="Normal"/>
    <w:link w:val="Heading7Char"/>
    <w:uiPriority w:val="9"/>
    <w:unhideWhenUsed/>
    <w:qFormat/>
    <w:rsid w:val="0047065B"/>
    <w:pPr>
      <w:keepNext/>
      <w:keepLines/>
      <w:spacing w:before="40"/>
      <w:outlineLvl w:val="6"/>
    </w:pPr>
    <w:rPr>
      <w:rFonts w:asciiTheme="majorHAnsi" w:cstheme="majorBidi" w:eastAsiaTheme="majorEastAsia" w:hAnsiTheme="majorHAnsi"/>
      <w:i/>
      <w:iCs/>
      <w:color w:themeColor="accent1" w:themeShade="7F" w:val="1F3763"/>
    </w:rPr>
  </w:style>
  <w:style w:styleId="Heading8" w:type="paragraph">
    <w:name w:val="heading 8"/>
    <w:basedOn w:val="Normal"/>
    <w:next w:val="Normal"/>
    <w:link w:val="Heading8Char"/>
    <w:uiPriority w:val="9"/>
    <w:unhideWhenUsed/>
    <w:qFormat/>
    <w:rsid w:val="00A7060E"/>
    <w:pPr>
      <w:keepNext/>
      <w:keepLines/>
      <w:spacing w:before="40" w:line="240" w:lineRule="auto"/>
      <w:outlineLvl w:val="7"/>
    </w:pPr>
    <w:rPr>
      <w:rFonts w:asciiTheme="majorHAnsi" w:cstheme="majorBidi" w:eastAsiaTheme="majorEastAsia" w:hAnsiTheme="majorHAnsi"/>
      <w:color w:themeColor="background1" w:themeShade="80" w:val="808080"/>
      <w:sz w:val="20"/>
      <w:szCs w:val="20"/>
    </w:rPr>
  </w:style>
  <w:style w:styleId="Heading9" w:type="paragraph">
    <w:name w:val="heading 9"/>
    <w:basedOn w:val="Normal"/>
    <w:next w:val="Normal"/>
    <w:link w:val="Heading9Char"/>
    <w:uiPriority w:val="9"/>
    <w:unhideWhenUsed/>
    <w:qFormat/>
    <w:rsid w:val="00A7060E"/>
    <w:pPr>
      <w:keepNext/>
      <w:keepLines/>
      <w:spacing w:before="40" w:line="240" w:lineRule="auto"/>
      <w:outlineLvl w:val="8"/>
    </w:pPr>
    <w:rPr>
      <w:rFonts w:asciiTheme="majorHAnsi" w:cstheme="majorBidi" w:eastAsiaTheme="majorEastAsia" w:hAnsiTheme="majorHAnsi"/>
      <w:color w:themeColor="text2" w:themeTint="99" w:val="8496B0"/>
      <w:sz w:val="20"/>
      <w:szCs w:val="20"/>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Title" w:type="paragraph">
    <w:name w:val="Title"/>
    <w:basedOn w:val="Normal"/>
    <w:next w:val="Normal"/>
    <w:link w:val="TitleChar"/>
    <w:uiPriority w:val="10"/>
    <w:qFormat/>
    <w:rsid w:val="00481C80"/>
    <w:pPr>
      <w:contextualSpacing/>
    </w:pPr>
    <w:rPr>
      <w:rFonts w:asciiTheme="majorHAnsi" w:cstheme="majorBidi" w:eastAsiaTheme="majorEastAsia" w:hAnsiTheme="majorHAnsi"/>
      <w:spacing w:val="-10"/>
      <w:kern w:val="28"/>
      <w:sz w:val="40"/>
      <w:szCs w:val="40"/>
    </w:rPr>
  </w:style>
  <w:style w:customStyle="1" w:styleId="TitleChar" w:type="character">
    <w:name w:val="Title Char"/>
    <w:basedOn w:val="DefaultParagraphFont"/>
    <w:link w:val="Title"/>
    <w:uiPriority w:val="10"/>
    <w:rsid w:val="00481C80"/>
    <w:rPr>
      <w:rFonts w:asciiTheme="majorHAnsi" w:cstheme="majorBidi" w:eastAsiaTheme="majorEastAsia" w:hAnsiTheme="majorHAnsi"/>
      <w:spacing w:val="-10"/>
      <w:kern w:val="28"/>
      <w:sz w:val="40"/>
      <w:szCs w:val="40"/>
    </w:rPr>
  </w:style>
  <w:style w:customStyle="1" w:styleId="Heading1Char" w:type="character">
    <w:name w:val="Heading 1 Char"/>
    <w:basedOn w:val="DefaultParagraphFont"/>
    <w:link w:val="Heading1"/>
    <w:uiPriority w:val="9"/>
    <w:rsid w:val="00D80FF0"/>
    <w:rPr>
      <w:rFonts w:ascii="Calibri" w:cs="Calibri" w:eastAsiaTheme="majorEastAsia" w:hAnsi="Calibri"/>
      <w:b/>
      <w:bCs/>
      <w:color w:themeColor="accent1" w:val="4472C4"/>
      <w:sz w:val="36"/>
      <w:szCs w:val="36"/>
    </w:rPr>
  </w:style>
  <w:style w:customStyle="1" w:styleId="Heading2Char" w:type="character">
    <w:name w:val="Heading 2 Char"/>
    <w:basedOn w:val="DefaultParagraphFont"/>
    <w:link w:val="Heading2"/>
    <w:uiPriority w:val="9"/>
    <w:rsid w:val="00481C80"/>
    <w:rPr>
      <w:rFonts w:ascii="Calibri" w:cs="Calibri" w:eastAsiaTheme="majorEastAsia" w:hAnsi="Calibri"/>
      <w:b/>
      <w:bCs/>
      <w:color w:themeColor="accent1" w:val="4472C4"/>
      <w:sz w:val="28"/>
      <w:szCs w:val="28"/>
    </w:rPr>
  </w:style>
  <w:style w:customStyle="1" w:styleId="Heading3Char" w:type="character">
    <w:name w:val="Heading 3 Char"/>
    <w:basedOn w:val="DefaultParagraphFont"/>
    <w:link w:val="Heading3"/>
    <w:uiPriority w:val="9"/>
    <w:rsid w:val="00481C80"/>
    <w:rPr>
      <w:rFonts w:cstheme="minorHAnsi" w:eastAsiaTheme="majorEastAsia"/>
      <w:color w:themeColor="accent1" w:themeShade="80" w:val="1F3864"/>
      <w:sz w:val="28"/>
      <w:szCs w:val="28"/>
    </w:rPr>
  </w:style>
  <w:style w:customStyle="1" w:styleId="Heading4Char" w:type="character">
    <w:name w:val="Heading 4 Char"/>
    <w:basedOn w:val="DefaultParagraphFont"/>
    <w:link w:val="Heading4"/>
    <w:uiPriority w:val="9"/>
    <w:rsid w:val="00481C80"/>
    <w:rPr>
      <w:rFonts w:cstheme="minorHAnsi" w:eastAsiaTheme="majorEastAsia"/>
      <w:iCs/>
      <w:color w:themeColor="accent1" w:themeShade="80" w:val="1F3864"/>
    </w:rPr>
  </w:style>
  <w:style w:customStyle="1" w:styleId="Heading5Char" w:type="character">
    <w:name w:val="Heading 5 Char"/>
    <w:basedOn w:val="DefaultParagraphFont"/>
    <w:link w:val="Heading5"/>
    <w:uiPriority w:val="9"/>
    <w:rsid w:val="0047065B"/>
    <w:rPr>
      <w:rFonts w:asciiTheme="majorHAnsi" w:cstheme="majorBidi" w:eastAsiaTheme="majorEastAsia" w:hAnsiTheme="majorHAnsi"/>
      <w:color w:themeColor="accent1" w:themeShade="BF" w:val="2F5496"/>
    </w:rPr>
  </w:style>
  <w:style w:customStyle="1" w:styleId="Heading6Char" w:type="character">
    <w:name w:val="Heading 6 Char"/>
    <w:basedOn w:val="DefaultParagraphFont"/>
    <w:link w:val="Heading6"/>
    <w:uiPriority w:val="9"/>
    <w:rsid w:val="0047065B"/>
    <w:rPr>
      <w:rFonts w:asciiTheme="majorHAnsi" w:cstheme="majorBidi" w:eastAsiaTheme="majorEastAsia" w:hAnsiTheme="majorHAnsi"/>
      <w:color w:themeColor="accent1" w:themeShade="7F" w:val="1F3763"/>
    </w:rPr>
  </w:style>
  <w:style w:customStyle="1" w:styleId="Heading7Char" w:type="character">
    <w:name w:val="Heading 7 Char"/>
    <w:basedOn w:val="DefaultParagraphFont"/>
    <w:link w:val="Heading7"/>
    <w:uiPriority w:val="9"/>
    <w:rsid w:val="0047065B"/>
    <w:rPr>
      <w:rFonts w:asciiTheme="majorHAnsi" w:cstheme="majorBidi" w:eastAsiaTheme="majorEastAsia" w:hAnsiTheme="majorHAnsi"/>
      <w:i/>
      <w:iCs/>
      <w:color w:themeColor="accent1" w:themeShade="7F" w:val="1F3763"/>
    </w:rPr>
  </w:style>
  <w:style w:customStyle="1" w:styleId="Heading8Char" w:type="character">
    <w:name w:val="Heading 8 Char"/>
    <w:basedOn w:val="DefaultParagraphFont"/>
    <w:link w:val="Heading8"/>
    <w:uiPriority w:val="9"/>
    <w:rsid w:val="00A7060E"/>
    <w:rPr>
      <w:rFonts w:asciiTheme="majorHAnsi" w:cstheme="majorBidi" w:eastAsiaTheme="majorEastAsia" w:hAnsiTheme="majorHAnsi"/>
      <w:color w:themeColor="background1" w:themeShade="80" w:val="808080"/>
      <w:sz w:val="20"/>
      <w:szCs w:val="20"/>
    </w:rPr>
  </w:style>
  <w:style w:customStyle="1" w:styleId="Heading9Char" w:type="character">
    <w:name w:val="Heading 9 Char"/>
    <w:basedOn w:val="DefaultParagraphFont"/>
    <w:link w:val="Heading9"/>
    <w:uiPriority w:val="9"/>
    <w:rsid w:val="00A7060E"/>
    <w:rPr>
      <w:rFonts w:asciiTheme="majorHAnsi" w:cstheme="majorBidi" w:eastAsiaTheme="majorEastAsia" w:hAnsiTheme="majorHAnsi"/>
      <w:color w:themeColor="text2" w:themeTint="99" w:val="8496B0"/>
      <w:sz w:val="20"/>
      <w:szCs w:val="20"/>
      <w:u w:val="single"/>
    </w:rPr>
  </w:style>
  <w:style w:styleId="Subtitle" w:type="paragraph">
    <w:name w:val="Subtitle"/>
    <w:basedOn w:val="Normal"/>
    <w:next w:val="Normal"/>
    <w:link w:val="SubtitleChar"/>
    <w:uiPriority w:val="11"/>
    <w:qFormat/>
    <w:rsid w:val="00D72EAE"/>
    <w:pPr>
      <w:numPr>
        <w:ilvl w:val="1"/>
      </w:numPr>
      <w:spacing w:after="160"/>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rsid w:val="00D72EAE"/>
    <w:rPr>
      <w:rFonts w:eastAsiaTheme="minorEastAsia"/>
      <w:color w:themeColor="text1" w:themeTint="A5" w:val="5A5A5A"/>
      <w:spacing w:val="15"/>
      <w:sz w:val="22"/>
      <w:szCs w:val="22"/>
    </w:rPr>
  </w:style>
  <w:style w:styleId="SubtleReference" w:type="character">
    <w:name w:val="Subtle Reference"/>
    <w:basedOn w:val="DefaultParagraphFont"/>
    <w:uiPriority w:val="31"/>
    <w:qFormat/>
    <w:rsid w:val="00D72EAE"/>
    <w:rPr>
      <w:smallCaps/>
      <w:color w:themeColor="text1" w:themeTint="A5" w:val="5A5A5A"/>
    </w:rPr>
  </w:style>
  <w:style w:customStyle="1" w:styleId="small" w:type="paragraph">
    <w:name w:val="small"/>
    <w:basedOn w:val="Normal"/>
    <w:next w:val="ListBullet"/>
    <w:qFormat/>
    <w:rsid w:val="000144E1"/>
    <w:pPr>
      <w:spacing w:line="240" w:lineRule="auto"/>
    </w:pPr>
    <w:rPr>
      <w:color w:themeColor="text2" w:themeTint="99" w:val="8496B0"/>
      <w:sz w:val="20"/>
      <w:szCs w:val="20"/>
    </w:rPr>
  </w:style>
  <w:style w:styleId="Hyperlink" w:type="character">
    <w:name w:val="Hyperlink"/>
    <w:basedOn w:val="DefaultParagraphFont"/>
    <w:uiPriority w:val="99"/>
    <w:unhideWhenUsed/>
    <w:rsid w:val="00314787"/>
    <w:rPr>
      <w:color w:themeColor="hyperlink" w:val="0563C1"/>
      <w:u w:val="single"/>
    </w:rPr>
  </w:style>
  <w:style w:styleId="UnresolvedMention" w:type="character">
    <w:name w:val="Unresolved Mention"/>
    <w:basedOn w:val="DefaultParagraphFont"/>
    <w:uiPriority w:val="99"/>
    <w:semiHidden/>
    <w:unhideWhenUsed/>
    <w:rsid w:val="00314787"/>
    <w:rPr>
      <w:color w:val="605E5C"/>
      <w:shd w:color="auto" w:fill="E1DFDD" w:val="clear"/>
    </w:rPr>
  </w:style>
  <w:style w:customStyle="1" w:styleId="small-list" w:type="paragraph">
    <w:name w:val="small-list"/>
    <w:basedOn w:val="small"/>
    <w:qFormat/>
    <w:rsid w:val="00314787"/>
    <w:pPr>
      <w:numPr>
        <w:numId w:val="1"/>
      </w:numPr>
      <w:spacing w:after="120"/>
      <w:ind w:hanging="357" w:left="714"/>
      <w:contextualSpacing/>
    </w:pPr>
  </w:style>
  <w:style w:styleId="NoSpacing" w:type="paragraph">
    <w:name w:val="No Spacing"/>
    <w:uiPriority w:val="1"/>
    <w:qFormat/>
    <w:rsid w:val="00314787"/>
  </w:style>
  <w:style w:styleId="ListBullet" w:type="paragraph">
    <w:name w:val="List Bullet"/>
    <w:basedOn w:val="Normal"/>
    <w:uiPriority w:val="99"/>
    <w:semiHidden/>
    <w:unhideWhenUsed/>
    <w:rsid w:val="00314787"/>
    <w:pPr>
      <w:numPr>
        <w:numId w:val="2"/>
      </w:numPr>
      <w:contextualSpacing/>
    </w:pPr>
  </w:style>
  <w:style w:styleId="TableGrid" w:type="table">
    <w:name w:val="Table Grid"/>
    <w:basedOn w:val="TableNormal"/>
    <w:uiPriority w:val="39"/>
    <w:rsid w:val="00FF489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PlainTable1" w:type="table">
    <w:name w:val="Plain Table 1"/>
    <w:basedOn w:val="TableNormal"/>
    <w:uiPriority w:val="41"/>
    <w:rsid w:val="002D6B52"/>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3" w:type="table">
    <w:name w:val="Plain Table 3"/>
    <w:basedOn w:val="TableNormal"/>
    <w:uiPriority w:val="43"/>
    <w:rsid w:val="007225EA"/>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7225E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7225EA"/>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GridTable1Light" w:type="table">
    <w:name w:val="Grid Table 1 Light"/>
    <w:basedOn w:val="TableNormal"/>
    <w:uiPriority w:val="46"/>
    <w:rsid w:val="007225EA"/>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5Dark-Accent3" w:type="table">
    <w:name w:val="Grid Table 5 Dark Accent 3"/>
    <w:basedOn w:val="TableNormal"/>
    <w:uiPriority w:val="50"/>
    <w:rsid w:val="007225E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TableGridLight" w:type="table">
    <w:name w:val="Grid Table Light"/>
    <w:basedOn w:val="TableNormal"/>
    <w:uiPriority w:val="40"/>
    <w:rsid w:val="007225EA"/>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customStyle="1" w:styleId="Table" w:type="table">
    <w:name w:val="Table"/>
    <w:basedOn w:val="PlainTable1"/>
    <w:uiPriority w:val="99"/>
    <w:rsid w:val="00880DBF"/>
    <w:tblPr>
      <w:tblStyleColBandSize w:val="0"/>
    </w:tblPr>
    <w:tcPr>
      <w:shd w:color="auto" w:fill="auto" w:val="clear"/>
    </w:tcPr>
    <w:tblStylePr w:type="firstRow">
      <w:rPr>
        <w:b w:val="0"/>
        <w:bCs/>
      </w:rPr>
      <w:tblPr/>
      <w:tcPr>
        <w:tcBorders>
          <w:bottom w:val="nil"/>
        </w:tcBorders>
        <w:shd w:color="auto" w:fill="D0CECE" w:themeFill="background2" w:themeFillShade="E6" w:val="clear"/>
      </w:tcPr>
    </w:tblStylePr>
    <w:tblStylePr w:type="lastRow">
      <w:rPr>
        <w:b/>
        <w:bCs/>
      </w:rPr>
      <w:tblPr/>
      <w:tcPr>
        <w:tcBorders>
          <w:top w:color="BFBFBF" w:space="0" w:sz="4" w:themeColor="background1" w:themeShade="BF" w:val="double"/>
        </w:tcBorders>
      </w:tcPr>
    </w:tblStylePr>
    <w:tblStylePr w:type="firstCol">
      <w:rPr>
        <w:b w:val="0"/>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Caption" w:type="paragraph">
    <w:name w:val="caption"/>
    <w:basedOn w:val="Normal"/>
    <w:next w:val="Normal"/>
    <w:uiPriority w:val="35"/>
    <w:unhideWhenUsed/>
    <w:qFormat/>
    <w:rsid w:val="00065001"/>
    <w:pPr>
      <w:spacing w:after="200" w:line="240" w:lineRule="auto"/>
    </w:pPr>
    <w:rPr>
      <w:i/>
      <w:iCs/>
      <w:color w:themeColor="text2" w:val="44546A"/>
      <w:sz w:val="18"/>
      <w:szCs w:val="18"/>
    </w:rPr>
  </w:style>
  <w:style w:customStyle="1" w:styleId="SourceCode" w:type="paragraph">
    <w:name w:val="Source Code"/>
    <w:basedOn w:val="Normal"/>
    <w:qFormat/>
    <w:rsid w:val="00E64A1A"/>
    <w:pPr>
      <w:shd w:color="auto" w:fill="E7E6E6" w:themeFill="background2" w:val="clear"/>
    </w:pPr>
    <w:rPr>
      <w:rFonts w:ascii="Courier New" w:hAnsi="Courier New"/>
      <w:color w:themeColor="accent3" w:themeShade="BF" w:val="7B7B7B"/>
    </w:r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02/ebm2.7" TargetMode="External" /><Relationship Type="http://schemas.openxmlformats.org/officeDocument/2006/relationships/hyperlink" Id="rId28" Target="https://doi.org/10.1007/s00330-018-5980-3" TargetMode="External" /><Relationship Type="http://schemas.openxmlformats.org/officeDocument/2006/relationships/hyperlink" Id="rId36" Target="https://doi.org/10.1016/j.jclinepi.2021.02.003" TargetMode="External" /><Relationship Type="http://schemas.openxmlformats.org/officeDocument/2006/relationships/hyperlink" Id="rId48" Target="https://doi.org/10.1017/S1049023X21000911" TargetMode="External" /><Relationship Type="http://schemas.openxmlformats.org/officeDocument/2006/relationships/hyperlink" Id="rId34" Target="https://doi.org/10.1073/pnas.2103238118" TargetMode="External" /><Relationship Type="http://schemas.openxmlformats.org/officeDocument/2006/relationships/hyperlink" Id="rId38" Target="https://doi.org/10.1089/acm.2007.7186" TargetMode="External" /><Relationship Type="http://schemas.openxmlformats.org/officeDocument/2006/relationships/hyperlink" Id="rId40" Target="https://doi.org/10.1136/bmjebm-2020-111604" TargetMode="External" /><Relationship Type="http://schemas.openxmlformats.org/officeDocument/2006/relationships/hyperlink" Id="rId50" Target="https://doi.org/10.1136/bmjopen-2018-026271" TargetMode="External" /><Relationship Type="http://schemas.openxmlformats.org/officeDocument/2006/relationships/hyperlink" Id="rId22" Target="https://doi.org/10.1136/bmjqs-2015-004116" TargetMode="External" /><Relationship Type="http://schemas.openxmlformats.org/officeDocument/2006/relationships/hyperlink" Id="rId24" Target="https://doi.org/10.1136/bmjqs-2015-004117" TargetMode="External" /><Relationship Type="http://schemas.openxmlformats.org/officeDocument/2006/relationships/hyperlink" Id="rId46" Target="https://doi.org/10.1186/s12874-021-01402-x" TargetMode="External" /><Relationship Type="http://schemas.openxmlformats.org/officeDocument/2006/relationships/hyperlink" Id="rId43" Target="https://doi.org/10.1371/journal.pbio.3000410" TargetMode="External" /><Relationship Type="http://schemas.openxmlformats.org/officeDocument/2006/relationships/hyperlink" Id="rId31" Target="https://doi.org/10.1371/journal.pone.01215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2024-01-17T18:32:27Z</dcterms:created>
  <dcterms:modified xsi:type="dcterms:W3CDTF">2024-01-17T18:32:27Z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ommitID">
    <vt:lpwstr>COMMITID</vt:lpwstr>
  </property>
  <property fmtid="{D5CDD505-2E9C-101B-9397-08002B2CF9AE}" pid="7" name="crossref">
    <vt:lpwstr/>
  </property>
  <property fmtid="{D5CDD505-2E9C-101B-9397-08002B2CF9AE}" pid="8" name="csl">
    <vt:lpwstr>../../springer-vancouver.csl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toc-title">
    <vt:lpwstr>Table of contents</vt:lpwstr>
  </property>
</Properties>
</file>