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study-characteristics"/>
    <w:p>
      <w:pPr>
        <w:pStyle w:val="TableCaption"/>
      </w:pPr>
      <w:r>
        <w:t xml:space="preserve">Table 1: Study characteristics</w:t>
      </w:r>
    </w:p>
    <w:tbl>
      <w:tblPr>
        <w:tblStyle w:val="Table"/>
        <w:tblW w:type="pct" w:w="5000"/>
        <w:tblLook w:firstRow="1" w:lastRow="0" w:firstColumn="0" w:lastColumn="0" w:noHBand="0" w:noVBand="0" w:val="0020"/>
        <w:jc w:val="start"/>
        <w:tblCaption w:val="Table 1: Study characteristics"/>
      </w:tblPr>
      <w:tblGrid>
        <w:gridCol w:w="990"/>
        <w:gridCol w:w="990"/>
        <w:gridCol w:w="1320"/>
        <w:gridCol w:w="990"/>
        <w:gridCol w:w="990"/>
        <w:gridCol w:w="1650"/>
        <w:gridCol w:w="990"/>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[2]</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[3]</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[5]</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w:t>
            </w: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r>
              <w:t xml:space="preserve">”</w:t>
            </w:r>
          </w:p>
        </w:tc>
        <w:tc>
          <w:tcPr/>
          <w:p>
            <w:pPr>
              <w:pStyle w:val="Compact"/>
              <w:jc w:val="center"/>
            </w:pPr>
            <w:r>
              <w:t xml:space="preserve">Fairly valuable</w:t>
            </w:r>
          </w:p>
        </w:tc>
      </w:tr>
      <w:tr>
        <w:tc>
          <w:tcPr/>
          <w:p>
            <w:pPr>
              <w:pStyle w:val="Compact"/>
              <w:jc w:val="left"/>
            </w:pPr>
            <w:r>
              <w:t xml:space="preserve">Eysenbach 2013</w:t>
            </w:r>
            <w:r>
              <w:t xml:space="preserve"> </w:t>
            </w:r>
            <w:r>
              <w:t xml:space="preserve">[6]</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[7]</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[8]</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[10]</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[11]</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[12]</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[13]</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[14]</w:t>
            </w:r>
          </w:p>
        </w:tc>
        <w:tc>
          <w:tcPr/>
          <w:p>
            <w:pPr>
              <w:pStyle w:val="Compact"/>
              <w:jc w:val="center"/>
            </w:pPr>
            <w:r>
              <w:t xml:space="preserve">11 authors</w:t>
            </w:r>
          </w:p>
        </w:tc>
        <w:tc>
          <w:tcPr/>
          <w:p>
            <w:pPr>
              <w:pStyle w:val="Compact"/>
              <w:jc w:val="center"/>
            </w:pPr>
            <w:r>
              <w:t xml:space="preserve">UK, USA, Belgium, Brazil</w:t>
            </w:r>
          </w:p>
        </w:tc>
        <w:tc>
          <w:tcPr/>
          <w:p>
            <w:pPr>
              <w:pStyle w:val="Compact"/>
              <w:jc w:val="center"/>
            </w:pPr>
            <w:r>
              <w:t xml:space="preserve">ARRIVE</w:t>
            </w:r>
          </w:p>
        </w:tc>
        <w:tc>
          <w:tcPr/>
          <w:p>
            <w:pPr>
              <w:pStyle w:val="Compact"/>
              <w:jc w:val="center"/>
            </w:pPr>
            <w:r>
              <w:t xml:space="preserve">Interview and writing task</w:t>
            </w:r>
          </w:p>
        </w:tc>
        <w:tc>
          <w:tcPr/>
          <w:p>
            <w:pPr>
              <w:pStyle w:val="Compact"/>
              <w:jc w:val="center"/>
            </w:pPr>
            <w:r>
              <w:t xml:space="preserve">Authors’ opinions, interpretation, and experiences of updated ARRIVE guidelines</w:t>
            </w:r>
          </w:p>
        </w:tc>
        <w:tc>
          <w:tcPr/>
          <w:p>
            <w:pPr>
              <w:pStyle w:val="Compact"/>
              <w:jc w:val="center"/>
            </w:pPr>
            <w:r>
              <w:t xml:space="preserve">Fairly valuable</w:t>
            </w:r>
          </w:p>
        </w:tc>
      </w:tr>
      <w:tr>
        <w:tc>
          <w:tcPr/>
          <w:p>
            <w:pPr>
              <w:pStyle w:val="Compact"/>
              <w:jc w:val="left"/>
            </w:pPr>
            <w:r>
              <w:t xml:space="preserve">Sharp et al., 2020</w:t>
            </w:r>
            <w:r>
              <w:t xml:space="preserve"> </w:t>
            </w:r>
            <w:r>
              <w:t xml:space="preserve">[15]</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[16]</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[17]</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[18]</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20"/>
    <w:bookmarkStart w:id="52" w:name="refs"/>
    <w:bookmarkStart w:id="21" w:name="ref-burfordTestingPRISMAEquity20122013"/>
    <w:p>
      <w:pPr>
        <w:pStyle w:val="Bibliography"/>
      </w:pPr>
      <w:r>
        <w:t xml:space="preserve">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21"/>
    <w:bookmarkStart w:id="23" w:name="ref-daviesSQUIREGuidelinesEvaluation2015"/>
    <w:p>
      <w:pPr>
        <w:pStyle w:val="Bibliography"/>
      </w:pPr>
      <w:r>
        <w:t xml:space="preserve">2.</w:t>
      </w:r>
      <w:r>
        <w:t xml:space="preserve"> </w:t>
      </w:r>
      <w:r>
        <w:t xml:space="preserve">	</w:t>
      </w:r>
      <w:r>
        <w:t xml:space="preserve">Davies L, Batalden P, Davidoff F, Stevens D, Ogrinc G (2015)</w:t>
      </w:r>
      <w:r>
        <w:t xml:space="preserve"> </w:t>
      </w:r>
      <w:hyperlink r:id="rId22">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23"/>
    <w:bookmarkStart w:id="25" w:name="ref-daviesFindingsNovelApproach2016"/>
    <w:p>
      <w:pPr>
        <w:pStyle w:val="Bibliography"/>
      </w:pPr>
      <w:r>
        <w:t xml:space="preserve">3.</w:t>
      </w:r>
      <w:r>
        <w:t xml:space="preserve"> </w:t>
      </w:r>
      <w:r>
        <w:t xml:space="preserve">	</w:t>
      </w:r>
      <w:r>
        <w:t xml:space="preserve">Davies L, Donnelly KZ, Goodman DJ, Ogrinc G (2016)</w:t>
      </w:r>
      <w:r>
        <w:t xml:space="preserve"> </w:t>
      </w:r>
      <w:hyperlink r:id="rId2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25"/>
    <w:bookmarkStart w:id="27" w:name="ref-devriesProtocolFormatPreparation2015"/>
    <w:p>
      <w:pPr>
        <w:pStyle w:val="Bibliography"/>
      </w:pPr>
      <w:r>
        <w:t xml:space="preserve">4.</w:t>
      </w:r>
      <w:r>
        <w:t xml:space="preserve"> </w:t>
      </w:r>
      <w:r>
        <w:t xml:space="preserve">	</w:t>
      </w:r>
      <w:r>
        <w:t xml:space="preserve">de Vries RBM, Hooijmans CR, Langendam MW, van Luijk J, Leenaars M, Ritskes-Hoitinga M, Wever KE (2015)</w:t>
      </w:r>
      <w:r>
        <w:t xml:space="preserve"> </w:t>
      </w:r>
      <w:hyperlink r:id="rId26">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27"/>
    <w:bookmarkStart w:id="29" w:name="ref-deweyImpactPerceivedValue2019"/>
    <w:p>
      <w:pPr>
        <w:pStyle w:val="Bibliography"/>
      </w:pPr>
      <w:r>
        <w:t xml:space="preserve">5.</w:t>
      </w:r>
      <w:r>
        <w:t xml:space="preserve"> </w:t>
      </w:r>
      <w:r>
        <w:t xml:space="preserve">	</w:t>
      </w:r>
      <w:r>
        <w:t xml:space="preserve">Dewey M, Levine D, Bossuyt PM, Kressel HY (2019)</w:t>
      </w:r>
      <w:r>
        <w:t xml:space="preserve"> </w:t>
      </w:r>
      <w:hyperlink r:id="rId28">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29"/>
    <w:bookmarkStart w:id="30" w:name="Xbb8e36e9eabfc341c5b76cbb2a5772ca74c1b07"/>
    <w:p>
      <w:pPr>
        <w:pStyle w:val="Bibliography"/>
      </w:pPr>
      <w:r>
        <w:t xml:space="preserve">6.</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30"/>
    <w:bookmarkStart w:id="32" w:name="ref-fullerWhatAffectsAuthors2015"/>
    <w:p>
      <w:pPr>
        <w:pStyle w:val="Bibliography"/>
      </w:pPr>
      <w:r>
        <w:t xml:space="preserve">7.</w:t>
      </w:r>
      <w:r>
        <w:t xml:space="preserve"> </w:t>
      </w:r>
      <w:r>
        <w:t xml:space="preserve">	</w:t>
      </w:r>
      <w:r>
        <w:t xml:space="preserve">Fuller T, Pearson M, Peters J, Anderson R (2015)</w:t>
      </w:r>
      <w:r>
        <w:t xml:space="preserve"> </w:t>
      </w:r>
      <w:hyperlink r:id="rId31">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32"/>
    <w:bookmarkStart w:id="33" w:name="Xa745f3c182cec1679b2b4fac2aeff3666166499"/>
    <w:p>
      <w:pPr>
        <w:pStyle w:val="Bibliography"/>
      </w:pPr>
      <w:r>
        <w:t xml:space="preserve">8.</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33"/>
    <w:bookmarkStart w:id="35"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34">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35"/>
    <w:bookmarkStart w:id="37" w:name="ref-pageUpdatingGuidanceReporting2021"/>
    <w:p>
      <w:pPr>
        <w:pStyle w:val="Bibliography"/>
      </w:pPr>
      <w:r>
        <w:t xml:space="preserve">10.</w:t>
      </w:r>
      <w:r>
        <w:t xml:space="preserve"> </w:t>
      </w:r>
      <w:r>
        <w:t xml:space="preserve">	</w:t>
      </w:r>
      <w:r>
        <w:t xml:space="preserve">Page MJ, McKenzie JE, Bossuyt PM, Boutron I, Hoffmann TC, Mulrow CD, Shamseer L, Tetzlaff JM, Moher D (2021)</w:t>
      </w:r>
      <w:r>
        <w:t xml:space="preserve"> </w:t>
      </w:r>
      <w:hyperlink r:id="rId3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37"/>
    <w:bookmarkStart w:id="39" w:name="ref-pradyAssessingUtilityStandards2007"/>
    <w:p>
      <w:pPr>
        <w:pStyle w:val="Bibliography"/>
      </w:pPr>
      <w:r>
        <w:t xml:space="preserve">11.</w:t>
      </w:r>
      <w:r>
        <w:t xml:space="preserve"> </w:t>
      </w:r>
      <w:r>
        <w:t xml:space="preserve">	</w:t>
      </w:r>
      <w:r>
        <w:t xml:space="preserve">Prady SL, MacPherson H (2007)</w:t>
      </w:r>
      <w:r>
        <w:t xml:space="preserve"> </w:t>
      </w:r>
      <w:hyperlink r:id="rId38">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39"/>
    <w:bookmarkStart w:id="41" w:name="ref-pragerBarriersReportingGuideline2021"/>
    <w:p>
      <w:pPr>
        <w:pStyle w:val="Bibliography"/>
      </w:pPr>
      <w:r>
        <w:t xml:space="preserve">12.</w:t>
      </w:r>
      <w:r>
        <w:t xml:space="preserve"> </w:t>
      </w:r>
      <w:r>
        <w:t xml:space="preserve">	</w:t>
      </w:r>
      <w:r>
        <w:t xml:space="preserve">Prager R, Gagnon L, Bowdridge J, Unni RR, McGrath TA, Cobey K, Bossuyt PM, McInnes MDF (2021)</w:t>
      </w:r>
      <w:r>
        <w:t xml:space="preserve"> </w:t>
      </w:r>
      <w:hyperlink r:id="rId40">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1"/>
    <w:bookmarkStart w:id="42" w:name="X7bb2eef00b82eee7040098ed1af6ffb9f6c8fa4"/>
    <w:p>
      <w:pPr>
        <w:pStyle w:val="Bibliography"/>
      </w:pPr>
      <w:r>
        <w:t xml:space="preserve">13.</w:t>
      </w:r>
      <w:r>
        <w:t xml:space="preserve"> </w:t>
      </w:r>
      <w:r>
        <w:t xml:space="preserve">	</w:t>
      </w:r>
      <w:r>
        <w:t xml:space="preserve">Rader T., Mann M., Stansfield C., Cooper C., Sampson M. (2014) Methods for documenting systematic review searches: A discussion of common issues. Research synthesis methods 5:98–115</w:t>
      </w:r>
    </w:p>
    <w:bookmarkEnd w:id="42"/>
    <w:bookmarkStart w:id="44" w:name="ref-sertARRIVEGuidelinesUpdated2020"/>
    <w:p>
      <w:pPr>
        <w:pStyle w:val="Bibliography"/>
      </w:pPr>
      <w:r>
        <w:t xml:space="preserve">14.</w:t>
      </w:r>
      <w:r>
        <w:t xml:space="preserve"> </w:t>
      </w:r>
      <w:r>
        <w:t xml:space="preserve">	</w:t>
      </w:r>
      <w:r>
        <w:t xml:space="preserve">Sert NP du, Hurst V, Ahluwalia A, et al (2020)</w:t>
      </w:r>
      <w:r>
        <w:t xml:space="preserve"> </w:t>
      </w:r>
      <w:hyperlink r:id="rId43">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44"/>
    <w:bookmarkStart w:id="45" w:name="ref-sharpOnlineSurveySTROBE2020"/>
    <w:p>
      <w:pPr>
        <w:pStyle w:val="Bibliography"/>
      </w:pPr>
      <w:r>
        <w:t xml:space="preserve">15.</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45"/>
    <w:bookmarkStart w:id="47" w:name="X690a0f161ffd510f508077af519386febce046d"/>
    <w:p>
      <w:pPr>
        <w:pStyle w:val="Bibliography"/>
      </w:pPr>
      <w:r>
        <w:t xml:space="preserve">16.</w:t>
      </w:r>
      <w:r>
        <w:t xml:space="preserve"> </w:t>
      </w:r>
      <w:r>
        <w:t xml:space="preserve">	</w:t>
      </w:r>
      <w:r>
        <w:t xml:space="preserve">Struthers C, Harwood J, de Beyer JA, Dhiman P, Logullo P, Schlüssel M (2021)</w:t>
      </w:r>
      <w:r>
        <w:t xml:space="preserve"> </w:t>
      </w:r>
      <w:hyperlink r:id="rId46">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47"/>
    <w:bookmarkStart w:id="49" w:name="X5971da819ab33f225cbe6afcc4fa6d6b3c7ebaf"/>
    <w:p>
      <w:pPr>
        <w:pStyle w:val="Bibliography"/>
      </w:pPr>
      <w:r>
        <w:t xml:space="preserve">17.</w:t>
      </w:r>
      <w:r>
        <w:t xml:space="preserve"> </w:t>
      </w:r>
      <w:r>
        <w:t xml:space="preserve">	</w:t>
      </w:r>
      <w:r>
        <w:t xml:space="preserve">Svensøy JN, Nilsson H, Rimstad R (2021)</w:t>
      </w:r>
      <w:r>
        <w:t xml:space="preserve"> </w:t>
      </w:r>
      <w:hyperlink r:id="rId4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49"/>
    <w:bookmarkStart w:id="51" w:name="ref-tamPerceptionPreferredReporting2019"/>
    <w:p>
      <w:pPr>
        <w:pStyle w:val="Bibliography"/>
      </w:pPr>
      <w:r>
        <w:t xml:space="preserve">18.</w:t>
      </w:r>
      <w:r>
        <w:t xml:space="preserve"> </w:t>
      </w:r>
      <w:r>
        <w:t xml:space="preserve">	</w:t>
      </w:r>
      <w:r>
        <w:t xml:space="preserve">Tam WWS, Tang A, Woo B, Goh SYS (2019)</w:t>
      </w:r>
      <w:r>
        <w:t xml:space="preserve"> </w:t>
      </w:r>
      <w:hyperlink r:id="rId50">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51"/>
    <w:bookmarkEnd w:id="5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02/ebm2.7" TargetMode="External" /><Relationship Type="http://schemas.openxmlformats.org/officeDocument/2006/relationships/hyperlink" Id="rId28" Target="https://doi.org/10.1007/s00330-018-5980-3" TargetMode="External" /><Relationship Type="http://schemas.openxmlformats.org/officeDocument/2006/relationships/hyperlink" Id="rId36" Target="https://doi.org/10.1016/j.jclinepi.2021.02.003" TargetMode="External" /><Relationship Type="http://schemas.openxmlformats.org/officeDocument/2006/relationships/hyperlink" Id="rId48" Target="https://doi.org/10.1017/S1049023X21000911" TargetMode="External" /><Relationship Type="http://schemas.openxmlformats.org/officeDocument/2006/relationships/hyperlink" Id="rId34" Target="https://doi.org/10.1073/pnas.2103238118" TargetMode="External" /><Relationship Type="http://schemas.openxmlformats.org/officeDocument/2006/relationships/hyperlink" Id="rId38" Target="https://doi.org/10.1089/acm.2007.7186" TargetMode="External" /><Relationship Type="http://schemas.openxmlformats.org/officeDocument/2006/relationships/hyperlink" Id="rId40" Target="https://doi.org/10.1136/bmjebm-2020-111604" TargetMode="External" /><Relationship Type="http://schemas.openxmlformats.org/officeDocument/2006/relationships/hyperlink" Id="rId50" Target="https://doi.org/10.1136/bmjopen-2018-026271" TargetMode="External" /><Relationship Type="http://schemas.openxmlformats.org/officeDocument/2006/relationships/hyperlink" Id="rId22" Target="https://doi.org/10.1136/bmjqs-2015-004116" TargetMode="External" /><Relationship Type="http://schemas.openxmlformats.org/officeDocument/2006/relationships/hyperlink" Id="rId24" Target="https://doi.org/10.1136/bmjqs-2015-004117" TargetMode="External" /><Relationship Type="http://schemas.openxmlformats.org/officeDocument/2006/relationships/hyperlink" Id="rId46" Target="https://doi.org/10.1186/s12874-021-01402-x" TargetMode="External" /><Relationship Type="http://schemas.openxmlformats.org/officeDocument/2006/relationships/hyperlink" Id="rId43" Target="https://doi.org/10.1371/journal.pbio.3000410" TargetMode="External" /><Relationship Type="http://schemas.openxmlformats.org/officeDocument/2006/relationships/hyperlink" Id="rId31"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2/ebm2.7" TargetMode="External" /><Relationship Type="http://schemas.openxmlformats.org/officeDocument/2006/relationships/hyperlink" Id="rId28" Target="https://doi.org/10.1007/s00330-018-5980-3" TargetMode="External" /><Relationship Type="http://schemas.openxmlformats.org/officeDocument/2006/relationships/hyperlink" Id="rId36" Target="https://doi.org/10.1016/j.jclinepi.2021.02.003" TargetMode="External" /><Relationship Type="http://schemas.openxmlformats.org/officeDocument/2006/relationships/hyperlink" Id="rId48" Target="https://doi.org/10.1017/S1049023X21000911" TargetMode="External" /><Relationship Type="http://schemas.openxmlformats.org/officeDocument/2006/relationships/hyperlink" Id="rId34" Target="https://doi.org/10.1073/pnas.2103238118" TargetMode="External" /><Relationship Type="http://schemas.openxmlformats.org/officeDocument/2006/relationships/hyperlink" Id="rId38" Target="https://doi.org/10.1089/acm.2007.7186" TargetMode="External" /><Relationship Type="http://schemas.openxmlformats.org/officeDocument/2006/relationships/hyperlink" Id="rId40" Target="https://doi.org/10.1136/bmjebm-2020-111604" TargetMode="External" /><Relationship Type="http://schemas.openxmlformats.org/officeDocument/2006/relationships/hyperlink" Id="rId50" Target="https://doi.org/10.1136/bmjopen-2018-026271" TargetMode="External" /><Relationship Type="http://schemas.openxmlformats.org/officeDocument/2006/relationships/hyperlink" Id="rId22" Target="https://doi.org/10.1136/bmjqs-2015-004116" TargetMode="External" /><Relationship Type="http://schemas.openxmlformats.org/officeDocument/2006/relationships/hyperlink" Id="rId24" Target="https://doi.org/10.1136/bmjqs-2015-004117" TargetMode="External" /><Relationship Type="http://schemas.openxmlformats.org/officeDocument/2006/relationships/hyperlink" Id="rId46" Target="https://doi.org/10.1186/s12874-021-01402-x" TargetMode="External" /><Relationship Type="http://schemas.openxmlformats.org/officeDocument/2006/relationships/hyperlink" Id="rId43" Target="https://doi.org/10.1371/journal.pbio.3000410" TargetMode="External" /><Relationship Type="http://schemas.openxmlformats.org/officeDocument/2006/relationships/hyperlink" Id="rId31"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2023-12-22T18:23:53Z</dcterms:created>
  <dcterms:modified xsi:type="dcterms:W3CDTF">2023-12-22T18:23:53Z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