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-from-quant"/>
    <w:p>
      <w:pPr>
        <w:pStyle w:val="TableCaption"/>
      </w:pPr>
      <w:r>
        <w:t xml:space="preserve">Table 1: Codes describing the focus of questions asked and their code categories. Items in bold did not appear in the qualitative data.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Codes describing the focus of questions asked and their code categories. Items in bold did not appear in the qualitative data."/>
      </w:tblPr>
      <w:tblGrid>
        <w:gridCol w:w="7443"/>
        <w:gridCol w:w="4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Code**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</w:tr>
      <w:tr>
        <w:tc>
          <w:tcPr/>
          <w:p>
            <w:pPr>
              <w:jc w:val="left"/>
            </w:pPr>
            <w:r>
              <w:t xml:space="preserve">Participant’s experience</w:t>
            </w:r>
            <w:r>
              <w:t xml:space="preserve"> </w:t>
            </w:r>
            <w:r>
              <w:t xml:space="preserve">[1–13]</w:t>
            </w:r>
          </w:p>
          <w:p>
            <w:pPr>
              <w:jc w:val="left"/>
            </w:pPr>
            <w:r>
              <w:t xml:space="preserve">Participant’s speciality</w:t>
            </w:r>
            <w:r>
              <w:t xml:space="preserve"> </w:t>
            </w:r>
            <w:r>
              <w:t xml:space="preserve">[1, 2, 4–6, 9, 10, 12–15]</w:t>
            </w:r>
          </w:p>
          <w:p>
            <w:pPr>
              <w:jc w:val="left"/>
            </w:pPr>
            <w:r>
              <w:t xml:space="preserve">Participant’s age</w:t>
            </w:r>
            <w:r>
              <w:t xml:space="preserve"> </w:t>
            </w:r>
            <w:r>
              <w:t xml:space="preserve">[4, 6–8, 10, 12, 13, 15]</w:t>
            </w:r>
          </w:p>
          <w:p>
            <w:pPr>
              <w:jc w:val="left"/>
            </w:pPr>
            <w:r>
              <w:t xml:space="preserve">Participant’s gender</w:t>
            </w:r>
            <w:r>
              <w:t xml:space="preserve"> </w:t>
            </w:r>
            <w:r>
              <w:t xml:space="preserve">[4, 6–8, 12, 13, 15]</w:t>
            </w:r>
          </w:p>
          <w:p>
            <w:pPr>
              <w:jc w:val="left"/>
            </w:pPr>
            <w:r>
              <w:t xml:space="preserve">Participant’s geography</w:t>
            </w:r>
            <w:r>
              <w:t xml:space="preserve"> </w:t>
            </w:r>
            <w:r>
              <w:t xml:space="preserve">[3, 5, 11, 13]</w:t>
            </w:r>
          </w:p>
          <w:p>
            <w:pPr>
              <w:jc w:val="left"/>
            </w:pPr>
            <w:r>
              <w:t xml:space="preserve">Participant’s stage of current research project</w:t>
            </w:r>
            <w:r>
              <w:t xml:space="preserve"> 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Demographics</w:t>
            </w:r>
          </w:p>
        </w:tc>
      </w:tr>
      <w:tr>
        <w:tc>
          <w:tcPr/>
          <w:p>
            <w:pPr>
              <w:jc w:val="left"/>
            </w:pPr>
            <w:r>
              <w:t xml:space="preserve">Awareness of a particular guideline</w:t>
            </w:r>
            <w:r>
              <w:t xml:space="preserve"> </w:t>
            </w:r>
            <w:r>
              <w:t xml:space="preserve">[1, 4–6, 8, 10–13, 15, 16]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Awareness of EQUATOR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[5, 6]</w:t>
            </w:r>
          </w:p>
          <w:p>
            <w:pPr>
              <w:jc w:val="left"/>
            </w:pPr>
            <w:r>
              <w:t xml:space="preserve">How did they first hear about guidelines or EQUATOR?</w:t>
            </w:r>
            <w:r>
              <w:t xml:space="preserve"> </w:t>
            </w:r>
            <w:r>
              <w:t xml:space="preserve">[5, 8, 13]</w:t>
            </w:r>
          </w:p>
          <w:p>
            <w:pPr>
              <w:jc w:val="left"/>
            </w:pPr>
            <w:r>
              <w:t xml:space="preserve">When did they first learn about a guideline?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Awareness</w:t>
            </w:r>
          </w:p>
        </w:tc>
      </w:tr>
      <w:tr>
        <w:tc>
          <w:tcPr/>
          <w:p>
            <w:pPr>
              <w:jc w:val="left"/>
            </w:pPr>
            <w:r>
              <w:t xml:space="preserve">How frequently do they use guidelines?</w:t>
            </w:r>
            <w:r>
              <w:t xml:space="preserve"> </w:t>
            </w:r>
            <w:r>
              <w:t xml:space="preserve">[1–3, 5, 6, 8, 12, 13, 15]</w:t>
            </w:r>
          </w:p>
          <w:p>
            <w:pPr>
              <w:jc w:val="left"/>
            </w:pPr>
            <w:r>
              <w:t xml:space="preserve">When should guidelines be used?</w:t>
            </w:r>
            <w:r>
              <w:t xml:space="preserve"> </w:t>
            </w:r>
            <w:r>
              <w:t xml:space="preserve">[3, 5, 6, 8, 12, 13]</w:t>
            </w:r>
          </w:p>
          <w:p>
            <w:pPr>
              <w:jc w:val="left"/>
            </w:pPr>
            <w:r>
              <w:t xml:space="preserve">Would they use a guideline, hypothetically</w:t>
            </w:r>
            <w:r>
              <w:t xml:space="preserve"> </w:t>
            </w:r>
            <w:r>
              <w:t xml:space="preserve">[1, 13, 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Did the guidance impact subsequent behaviour?</w:t>
            </w:r>
            <w:r>
              <w:t xml:space="preserve"> </w:t>
            </w:r>
            <w:r>
              <w:t xml:space="preserve">[1–3, 16–19]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 on behaviour</w:t>
            </w:r>
          </w:p>
        </w:tc>
      </w:tr>
      <w:tr>
        <w:tc>
          <w:tcPr/>
          <w:p>
            <w:pPr>
              <w:jc w:val="left"/>
            </w:pPr>
            <w:r>
              <w:t xml:space="preserve">Is the guidance usable?</w:t>
            </w:r>
            <w:r>
              <w:t xml:space="preserve"> </w:t>
            </w:r>
            <w:r>
              <w:t xml:space="preserve">[12, 13, 20]</w:t>
            </w:r>
          </w:p>
          <w:p>
            <w:pPr>
              <w:jc w:val="left"/>
            </w:pPr>
            <w:r>
              <w:t xml:space="preserve">Is the guidance easy to understand?</w:t>
            </w:r>
            <w:r>
              <w:t xml:space="preserve"> </w:t>
            </w:r>
            <w:r>
              <w:t xml:space="preserve">[2, 7, 9, 12, 13, 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the guidance useful?</w:t>
            </w:r>
            <w:r>
              <w:t xml:space="preserve"> </w:t>
            </w:r>
            <w:r>
              <w:t xml:space="preserve">[3, 5, 10, 13, 17, 19, 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Usefulness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the guidance important?</w:t>
            </w:r>
            <w:r>
              <w:t xml:space="preserve"> </w:t>
            </w:r>
            <w:r>
              <w:t xml:space="preserve">[2, 5, 7, 10, 15, 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Importance</w:t>
            </w:r>
          </w:p>
        </w:tc>
      </w:tr>
      <w:tr>
        <w:tc>
          <w:tcPr/>
          <w:p>
            <w:pPr>
              <w:jc w:val="left"/>
            </w:pPr>
            <w:r>
              <w:t xml:space="preserve">Are time and length barriers?</w:t>
            </w:r>
            <w:r>
              <w:t xml:space="preserve"> </w:t>
            </w:r>
            <w:r>
              <w:t xml:space="preserve">[5, 12, 13, 18, 19]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Is language of guidance a barrier?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[12]</w:t>
            </w:r>
          </w:p>
          <w:p>
            <w:pPr>
              <w:jc w:val="left"/>
            </w:pPr>
            <w:r>
              <w:t xml:space="preserve">Are guidelines lacking for study type?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Barriers</w:t>
            </w:r>
          </w:p>
        </w:tc>
      </w:tr>
      <w:tr>
        <w:tc>
          <w:tcPr/>
          <w:p>
            <w:pPr>
              <w:jc w:val="left"/>
            </w:pPr>
            <w:r>
              <w:t xml:space="preserve">Is the layout OK?</w:t>
            </w:r>
            <w:r>
              <w:t xml:space="preserve"> </w:t>
            </w:r>
            <w:r>
              <w:t xml:space="preserve">[9, 13, 17]</w:t>
            </w:r>
          </w:p>
          <w:p>
            <w:pPr>
              <w:jc w:val="left"/>
            </w:pPr>
            <w:r>
              <w:t xml:space="preserve">Should the content be modified?</w:t>
            </w:r>
            <w:r>
              <w:t xml:space="preserve"> </w:t>
            </w:r>
            <w:r>
              <w:t xml:space="preserve">[9, 17, 22]</w:t>
            </w:r>
          </w:p>
          <w:p>
            <w:pPr>
              <w:jc w:val="left"/>
            </w:pPr>
            <w:r>
              <w:t xml:space="preserve">Is the guidance relevant?</w:t>
            </w:r>
            <w:r>
              <w:t xml:space="preserve"> </w:t>
            </w:r>
            <w:r>
              <w:t xml:space="preserve">[19]</w:t>
            </w:r>
          </w:p>
          <w:p>
            <w:pPr>
              <w:jc w:val="left"/>
            </w:pPr>
            <w:r>
              <w:t xml:space="preserve">Are guidelines prescriptive?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Opinions on content</w:t>
            </w:r>
          </w:p>
        </w:tc>
      </w:tr>
      <w:tr>
        <w:tc>
          <w:tcPr/>
          <w:p>
            <w:pPr>
              <w:jc w:val="left"/>
            </w:pPr>
            <w:r>
              <w:t xml:space="preserve">Will using a guideline benefit the manuscript?</w:t>
            </w:r>
            <w:r>
              <w:t xml:space="preserve"> </w:t>
            </w:r>
            <w:r>
              <w:t xml:space="preserve">[1, 12, 13, 17]</w:t>
            </w:r>
          </w:p>
          <w:p>
            <w:pPr>
              <w:jc w:val="left"/>
            </w:pPr>
            <w:r>
              <w:t xml:space="preserve">Productivity benefits of using guidelines</w:t>
            </w:r>
            <w:r>
              <w:t xml:space="preserve"> </w:t>
            </w:r>
            <w:r>
              <w:t xml:space="preserve">[13]</w:t>
            </w:r>
          </w:p>
          <w:p>
            <w:pPr>
              <w:jc w:val="left"/>
            </w:pPr>
            <w:r>
              <w:t xml:space="preserve">Using guidelines because of journal requirements</w:t>
            </w:r>
            <w:r>
              <w:t xml:space="preserve"> </w:t>
            </w:r>
            <w:r>
              <w:t xml:space="preserve">[5,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Using guidelines because of funder requirements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Using guidelines because of employment requirements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Using guidelines because of other researchers expecting it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Reasons for using a guideline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Opinions on reporting quality of the literature</w:t>
            </w:r>
            <w:r>
              <w:t xml:space="preserve"> </w:t>
            </w:r>
            <w:r>
              <w:t xml:space="preserve">[4, 5, 10, 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Opinions on reporting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 guidelines easy to find and access</w:t>
            </w:r>
            <w:r>
              <w:t xml:space="preserve"> </w:t>
            </w:r>
            <w:r>
              <w:t xml:space="preserve">[5, 10, 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Accessibility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should complete the checklist?</w:t>
            </w:r>
            <w:r>
              <w:t xml:space="preserve"> </w:t>
            </w:r>
            <w:r>
              <w:t xml:space="preserve">[5, 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Roles</w:t>
            </w:r>
          </w:p>
        </w:tc>
      </w:tr>
      <w:tr>
        <w:tc>
          <w:tcPr/>
          <w:p>
            <w:pPr>
              <w:jc w:val="left"/>
            </w:pPr>
            <w:r>
              <w:t xml:space="preserve">Are endorsements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evidence of increased chance of publication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evidence of improved reporting quality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explanatory information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Is training a facilitator?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[5]</w:t>
            </w:r>
          </w:p>
          <w:p>
            <w:pPr>
              <w:jc w:val="left"/>
            </w:pPr>
            <w:r>
              <w:t xml:space="preserve">Is the behaviour of peers a facilitator or motivator?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the evidence base underlying a reporting guideline a motivator?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Is transparency in guideline development a motivator?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Facilitators and motivators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the aim of the guidance clear?</w:t>
            </w:r>
            <w:r>
              <w:t xml:space="preserve"> </w:t>
            </w: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Aim of guidance</w:t>
            </w:r>
          </w:p>
        </w:tc>
      </w:tr>
    </w:tbl>
    <w:bookmarkEnd w:id="20"/>
    <w:bookmarkStart w:id="57" w:name="refs"/>
    <w:bookmarkStart w:id="21" w:name="ref-burfordTestingPRISMAEquity2012201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21"/>
    <w:bookmarkStart w:id="23" w:name="ref-daviesFindingsNovelApproach2016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2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3"/>
    <w:bookmarkStart w:id="25" w:name="ref-deweyImpactPerceivedValue201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24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25"/>
    <w:bookmarkStart w:id="26" w:name="ref-fangSurveyAwarenessARRIVE2015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Fang Z.-P., Leng X., Liu Y.-L., Liu W.-B., Hu W.-J., Zhang Z.-J., Ma B., Li D.-M. (2015)</w:t>
      </w:r>
      <w:r>
        <w:t xml:space="preserve"> </w:t>
      </w:r>
      <w:r>
        <w:t xml:space="preserve">A survey on awareness of the ARRIVE guideline and GSPC in researchers field in animal experiments field in Lanzhou city</w:t>
      </w:r>
      <w:r>
        <w:t xml:space="preserve">. Chinese Journal of Evidence-Based Medicine 15:797–801</w:t>
      </w:r>
    </w:p>
    <w:bookmarkEnd w:id="26"/>
    <w:bookmarkStart w:id="28" w:name="ref-fullerWhatAffectsAuthors2015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27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28"/>
    <w:bookmarkStart w:id="30" w:name="X1c6277b1cc187596beb1d545546d4c8e7e3e745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Gi̇ray E, Coskun OK, Karacaatli M, Gunduz OH, Yagci İ (2020)</w:t>
      </w:r>
      <w:r>
        <w:t xml:space="preserve"> </w:t>
      </w:r>
      <w:hyperlink r:id="rId29">
        <w:r>
          <w:rPr>
            <w:rStyle w:val="Hyperlink"/>
          </w:rPr>
          <w:t xml:space="preserve">Assessment of the knowledge and awareness of a sample of young researcher physicians on reporting guidelines and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EQUATOR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network: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single center cross-sectional study</w:t>
        </w:r>
      </w:hyperlink>
      <w:r>
        <w:t xml:space="preserve">. Marmara Medical Journal 33:1–6</w:t>
      </w:r>
    </w:p>
    <w:bookmarkEnd w:id="30"/>
    <w:bookmarkStart w:id="31" w:name="ref-guoRecognitionStatusQuality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Guo S, Qi S, Yang L, Wang X, Zhu Q, Meng X, Zeng Y, Institute M and A of, China SMC of A (2018) Recognition status of quality assessment and standards for reporting randomized controlled trials of traditional</w:t>
      </w:r>
      <w:r>
        <w:t xml:space="preserve"> </w:t>
      </w:r>
      <w:r>
        <w:t xml:space="preserve">Chinese</w:t>
      </w:r>
      <w:r>
        <w:t xml:space="preserve"> </w:t>
      </w:r>
      <w:r>
        <w:t xml:space="preserve">medicine researchers. China Journal of Traditional Chinese Medicine and Pharmacy 1077–1081</w:t>
      </w:r>
    </w:p>
    <w:bookmarkEnd w:id="31"/>
    <w:bookmarkStart w:id="33" w:name="Xcf295e23b15ac8a640006326da8af9447196941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Karadağ Öncel E, Başaranoğlu ST, Aykaç K, Kömürlüoğlu A, Akman AÖ, Kıran S (2018)</w:t>
      </w:r>
      <w:r>
        <w:t xml:space="preserve"> </w:t>
      </w:r>
      <w:hyperlink r:id="rId32">
        <w:r>
          <w:rPr>
            <w:rStyle w:val="Hyperlink"/>
          </w:rPr>
          <w:t xml:space="preserve">Knowledge and awareness of optimal use of reporting guidelines in paediatricians: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cross-sectional study</w:t>
        </w:r>
      </w:hyperlink>
      <w:r>
        <w:t xml:space="preserve">. Turk Pediatri Arsivi 53:163–168</w:t>
      </w:r>
    </w:p>
    <w:bookmarkEnd w:id="33"/>
    <w:bookmarkStart w:id="34" w:name="Xa745f3c182cec1679b2b4fac2aeff3666166499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34"/>
    <w:bookmarkStart w:id="36" w:name="ref-maSurveyBasicMedical2017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Ma B, Xu J, Wu W, Liu H, Kou C, Liu N, Zhao L (2017)</w:t>
      </w:r>
      <w:r>
        <w:t xml:space="preserve"> </w:t>
      </w:r>
      <w:hyperlink r:id="rId35">
        <w:r>
          <w:rPr>
            <w:rStyle w:val="Hyperlink"/>
          </w:rPr>
          <w:t xml:space="preserve">Survey of basic medical researchers on the awareness of animal experimental designs and reporting standards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China</w:t>
        </w:r>
      </w:hyperlink>
      <w:r>
        <w:t xml:space="preserve">. PLoS ONE 12:e0174530</w:t>
      </w:r>
    </w:p>
    <w:bookmarkEnd w:id="36"/>
    <w:bookmarkStart w:id="37" w:name="X2d0e4fd4d3285ffbac7f90432355d9d8a5d8629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McDonough J., O’Dunne A., B. C, Margerum B., Sutton D. (2011) Familiarity of non-industry authors with good publication practice and clinical data reporting guidelines. Current Medical Research and Opinion 27:S9</w:t>
      </w:r>
    </w:p>
    <w:bookmarkEnd w:id="37"/>
    <w:bookmarkStart w:id="39" w:name="ref-pragerBarriersReportingGuideline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38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39"/>
    <w:bookmarkStart w:id="41" w:name="ref-sharpUsingSTROBEStatement2019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Sharp MK, Bertizzolo L, Rius R, Wager E, Gómez G, Hren D (2019)</w:t>
      </w:r>
      <w:r>
        <w:t xml:space="preserve"> </w:t>
      </w:r>
      <w:hyperlink r:id="rId40">
        <w:r>
          <w:rPr>
            <w:rStyle w:val="Hyperlink"/>
          </w:rPr>
          <w:t xml:space="preserve">Using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STROBE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statement: Survey findings emphasized the role of journals in enforcing reporting guidelines</w:t>
        </w:r>
      </w:hyperlink>
      <w:r>
        <w:t xml:space="preserve">. Journal of Clinical Epidemiology 116:26–35</w:t>
      </w:r>
    </w:p>
    <w:bookmarkEnd w:id="41"/>
    <w:bookmarkStart w:id="42" w:name="X7bb2eef00b82eee7040098ed1af6ffb9f6c8fa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42"/>
    <w:bookmarkStart w:id="44" w:name="ref-tamPerceptionPreferredReporting2019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43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44"/>
    <w:bookmarkStart w:id="46" w:name="ref-pradyAssessingUtilityStandards200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45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46"/>
    <w:bookmarkStart w:id="48" w:name="ref-brouwersAGREEReportingChecklist2016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Brouwers MC, Kerkvliet K, Spithoff K, Consortium ANS (2016)</w:t>
      </w:r>
      <w:r>
        <w:t xml:space="preserve"> </w:t>
      </w:r>
      <w:hyperlink r:id="rId47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AGREE Reporting Checklist</w:t>
        </w:r>
        <w:r>
          <w:rPr>
            <w:rStyle w:val="Hyperlink"/>
          </w:rPr>
          <w:t xml:space="preserve">: A tool to improve reporting of clinical practice guidelines</w:t>
        </w:r>
      </w:hyperlink>
      <w:r>
        <w:t xml:space="preserve">. BMJ 352:i1152</w:t>
      </w:r>
    </w:p>
    <w:bookmarkEnd w:id="48"/>
    <w:bookmarkStart w:id="49" w:name="Xbb8e36e9eabfc341c5b76cbb2a5772ca74c1b07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49"/>
    <w:bookmarkStart w:id="51" w:name="X690a0f161ffd510f508077af519386febce046d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50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51"/>
    <w:bookmarkStart w:id="52" w:name="ref-phillipsa.PilotTestingGuideline2015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Phillips A., Lewis L.K., McEvoy M.P., Galipeau J., Glasziou P., Moher D., Tilson J.K., Williams M.T. (2015) Pilot testing of the guideline for reporting of evidence-based practice educational interventions and teaching (greet). Physiotherapy (United Kingdom) 101:eS1203–eS1204</w:t>
      </w:r>
    </w:p>
    <w:bookmarkEnd w:id="52"/>
    <w:bookmarkStart w:id="54" w:name="ref-macleodMDARMaterialsDesign2021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5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4"/>
    <w:bookmarkStart w:id="56" w:name="ref-pageUpdatingGuidanceReporting2021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55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56"/>
    <w:bookmarkEnd w:id="57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7/s00330-018-5980-3" TargetMode="External" /><Relationship Type="http://schemas.openxmlformats.org/officeDocument/2006/relationships/hyperlink" Id="rId40" Target="https://doi.org/10.1016/j.jclinepi.2019.07.019" TargetMode="External" /><Relationship Type="http://schemas.openxmlformats.org/officeDocument/2006/relationships/hyperlink" Id="rId55" Target="https://doi.org/10.1016/j.jclinepi.2021.02.003" TargetMode="External" /><Relationship Type="http://schemas.openxmlformats.org/officeDocument/2006/relationships/hyperlink" Id="rId53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47" Target="https://doi.org/10.1136/bmj.i1152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43" Target="https://doi.org/10.1136/bmjopen-2018-026271" TargetMode="External" /><Relationship Type="http://schemas.openxmlformats.org/officeDocument/2006/relationships/hyperlink" Id="rId22" Target="https://doi.org/10.1136/bmjqs-2015-004117" TargetMode="External" /><Relationship Type="http://schemas.openxmlformats.org/officeDocument/2006/relationships/hyperlink" Id="rId50" Target="https://doi.org/10.1186/s12874-021-01402-x" TargetMode="External" /><Relationship Type="http://schemas.openxmlformats.org/officeDocument/2006/relationships/hyperlink" Id="rId27" Target="https://doi.org/10.1371/journal.pone.0121585" TargetMode="External" /><Relationship Type="http://schemas.openxmlformats.org/officeDocument/2006/relationships/hyperlink" Id="rId35" Target="https://doi.org/10.1371/journal.pone.0174530" TargetMode="External" /><Relationship Type="http://schemas.openxmlformats.org/officeDocument/2006/relationships/hyperlink" Id="rId32" Target="https://doi.org/10.5152/TurkPediatriArs.2018.6167" TargetMode="External" /><Relationship Type="http://schemas.openxmlformats.org/officeDocument/2006/relationships/hyperlink" Id="rId29" Target="https://doi.org/10.5472/marumj.6823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s00330-018-5980-3" TargetMode="External" /><Relationship Type="http://schemas.openxmlformats.org/officeDocument/2006/relationships/hyperlink" Id="rId40" Target="https://doi.org/10.1016/j.jclinepi.2019.07.019" TargetMode="External" /><Relationship Type="http://schemas.openxmlformats.org/officeDocument/2006/relationships/hyperlink" Id="rId55" Target="https://doi.org/10.1016/j.jclinepi.2021.02.003" TargetMode="External" /><Relationship Type="http://schemas.openxmlformats.org/officeDocument/2006/relationships/hyperlink" Id="rId53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47" Target="https://doi.org/10.1136/bmj.i1152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43" Target="https://doi.org/10.1136/bmjopen-2018-026271" TargetMode="External" /><Relationship Type="http://schemas.openxmlformats.org/officeDocument/2006/relationships/hyperlink" Id="rId22" Target="https://doi.org/10.1136/bmjqs-2015-004117" TargetMode="External" /><Relationship Type="http://schemas.openxmlformats.org/officeDocument/2006/relationships/hyperlink" Id="rId50" Target="https://doi.org/10.1186/s12874-021-01402-x" TargetMode="External" /><Relationship Type="http://schemas.openxmlformats.org/officeDocument/2006/relationships/hyperlink" Id="rId27" Target="https://doi.org/10.1371/journal.pone.0121585" TargetMode="External" /><Relationship Type="http://schemas.openxmlformats.org/officeDocument/2006/relationships/hyperlink" Id="rId35" Target="https://doi.org/10.1371/journal.pone.0174530" TargetMode="External" /><Relationship Type="http://schemas.openxmlformats.org/officeDocument/2006/relationships/hyperlink" Id="rId32" Target="https://doi.org/10.5152/TurkPediatriArs.2018.6167" TargetMode="External" /><Relationship Type="http://schemas.openxmlformats.org/officeDocument/2006/relationships/hyperlink" Id="rId29" Target="https://doi.org/10.5472/marumj.6823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2023-12-22T17:59:10Z</dcterms:created>
  <dcterms:modified xsi:type="dcterms:W3CDTF">2023-12-22T17:59:10Z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