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nt"/>
    <w:p>
      <w:pPr>
        <w:pStyle w:val="TableCaption"/>
      </w:pPr>
      <w:r>
        <w:t xml:space="preserve">Table 1: Codes describing the focus of questions asked and their code categories. Items in bold did not appear in the qualitative data.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describing the focus of questions asked and their code categories. Items in bold did not appear in the qualitative data."/>
      </w:tblPr>
      <w:tblGrid>
        <w:gridCol w:w="7443"/>
        <w:gridCol w:w="4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</w:tr>
      <w:tr>
        <w:tc>
          <w:tcPr/>
          <w:p>
            <w:pPr>
              <w:jc w:val="left"/>
            </w:pPr>
            <w:r>
              <w:t xml:space="preserve">Participant’s experience</w:t>
            </w:r>
            <w:r>
              <w:t xml:space="preserve"> </w:t>
            </w:r>
            <w:r>
              <w:t xml:space="preserve">[1–13]</w:t>
            </w:r>
          </w:p>
          <w:p>
            <w:pPr>
              <w:jc w:val="left"/>
            </w:pPr>
            <w:r>
              <w:t xml:space="preserve">Participant’s speciality</w:t>
            </w:r>
            <w:r>
              <w:t xml:space="preserve"> </w:t>
            </w:r>
            <w:r>
              <w:t xml:space="preserve">[1, 2, 4–6, 9, 10, 12–15]</w:t>
            </w:r>
          </w:p>
          <w:p>
            <w:pPr>
              <w:jc w:val="left"/>
            </w:pPr>
            <w:r>
              <w:t xml:space="preserve">Participant’s age</w:t>
            </w:r>
            <w:r>
              <w:t xml:space="preserve"> </w:t>
            </w:r>
            <w:r>
              <w:t xml:space="preserve">[4, 6–8, 10, 12, 13, 15]</w:t>
            </w:r>
          </w:p>
          <w:p>
            <w:pPr>
              <w:jc w:val="left"/>
            </w:pPr>
            <w:r>
              <w:t xml:space="preserve">Participant’s gender</w:t>
            </w:r>
            <w:r>
              <w:t xml:space="preserve"> </w:t>
            </w:r>
            <w:r>
              <w:t xml:space="preserve">[4, 6–8, 12, 13, 15]</w:t>
            </w:r>
          </w:p>
          <w:p>
            <w:pPr>
              <w:jc w:val="left"/>
            </w:pPr>
            <w:r>
              <w:t xml:space="preserve">Participant’s geography</w:t>
            </w:r>
            <w:r>
              <w:t xml:space="preserve"> </w:t>
            </w:r>
            <w:r>
              <w:t xml:space="preserve">[3, 5, 11, 13]</w:t>
            </w:r>
          </w:p>
          <w:p>
            <w:pPr>
              <w:jc w:val="left"/>
            </w:pPr>
            <w:r>
              <w:t xml:space="preserve">Participant’s stage of current research project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Demographics</w:t>
            </w:r>
          </w:p>
        </w:tc>
      </w:tr>
      <w:tr>
        <w:tc>
          <w:tcPr/>
          <w:p>
            <w:pPr>
              <w:jc w:val="left"/>
            </w:pPr>
            <w:r>
              <w:t xml:space="preserve">Awareness of a particular guideline</w:t>
            </w:r>
            <w:r>
              <w:t xml:space="preserve"> </w:t>
            </w:r>
            <w:r>
              <w:t xml:space="preserve">[1, 4–6, 8, 10–13, 15,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Awareness of EQUATOR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  <w:p>
            <w:pPr>
              <w:jc w:val="left"/>
            </w:pPr>
            <w:r>
              <w:t xml:space="preserve">How did they first hear about guidelines or EQUATOR?</w:t>
            </w:r>
            <w:r>
              <w:t xml:space="preserve"> </w:t>
            </w:r>
            <w:r>
              <w:t xml:space="preserve">[5, 8, 13]</w:t>
            </w:r>
          </w:p>
          <w:p>
            <w:pPr>
              <w:jc w:val="left"/>
            </w:pPr>
            <w:r>
              <w:t xml:space="preserve">When did they first learn about a guideline?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</w:t>
            </w:r>
          </w:p>
        </w:tc>
      </w:tr>
      <w:tr>
        <w:tc>
          <w:tcPr/>
          <w:p>
            <w:pPr>
              <w:jc w:val="left"/>
            </w:pPr>
            <w:r>
              <w:t xml:space="preserve">How frequently do they use guidelines?</w:t>
            </w:r>
            <w:r>
              <w:t xml:space="preserve"> </w:t>
            </w:r>
            <w:r>
              <w:t xml:space="preserve">[1–3, 5, 6, 8, 12, 13, 15]</w:t>
            </w:r>
          </w:p>
          <w:p>
            <w:pPr>
              <w:jc w:val="left"/>
            </w:pPr>
            <w:r>
              <w:t xml:space="preserve">When should guidelines be used?</w:t>
            </w:r>
            <w:r>
              <w:t xml:space="preserve"> </w:t>
            </w:r>
            <w:r>
              <w:t xml:space="preserve">[3, 5, 6, 8, 12, 13]</w:t>
            </w:r>
          </w:p>
          <w:p>
            <w:pPr>
              <w:jc w:val="left"/>
            </w:pPr>
            <w:r>
              <w:t xml:space="preserve">Would they use a guideline, hypothetically</w:t>
            </w:r>
            <w:r>
              <w:t xml:space="preserve"> </w:t>
            </w:r>
            <w:r>
              <w:t xml:space="preserve">[1, 13, 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 the guidance impact subsequent behaviour?</w:t>
            </w:r>
            <w:r>
              <w:t xml:space="preserve"> </w:t>
            </w:r>
            <w:r>
              <w:t xml:space="preserve">[1–3, 16–19]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on behaviour</w:t>
            </w:r>
          </w:p>
        </w:tc>
      </w:tr>
      <w:tr>
        <w:tc>
          <w:tcPr/>
          <w:p>
            <w:pPr>
              <w:jc w:val="left"/>
            </w:pPr>
            <w:r>
              <w:t xml:space="preserve">Is the guidance usable?</w:t>
            </w:r>
            <w:r>
              <w:t xml:space="preserve"> </w:t>
            </w:r>
            <w:r>
              <w:t xml:space="preserve">[12, 13, 20]</w:t>
            </w:r>
          </w:p>
          <w:p>
            <w:pPr>
              <w:jc w:val="left"/>
            </w:pPr>
            <w:r>
              <w:t xml:space="preserve">Is the guidance easy to understand?</w:t>
            </w:r>
            <w:r>
              <w:t xml:space="preserve"> </w:t>
            </w:r>
            <w:r>
              <w:t xml:space="preserve">[2, 7, 9, 12, 13, 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useful?</w:t>
            </w:r>
            <w:r>
              <w:t xml:space="preserve"> </w:t>
            </w:r>
            <w:r>
              <w:t xml:space="preserve">[3, 5, 10, 13, 17, 19, 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Usefulness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guidance important?</w:t>
            </w:r>
            <w:r>
              <w:t xml:space="preserve"> </w:t>
            </w:r>
            <w:r>
              <w:t xml:space="preserve">[2, 5, 7, 10, 15, 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Importance</w:t>
            </w:r>
          </w:p>
        </w:tc>
      </w:tr>
      <w:tr>
        <w:tc>
          <w:tcPr/>
          <w:p>
            <w:pPr>
              <w:jc w:val="left"/>
            </w:pPr>
            <w:r>
              <w:t xml:space="preserve">Are time and length barriers?</w:t>
            </w:r>
            <w:r>
              <w:t xml:space="preserve"> </w:t>
            </w:r>
            <w:r>
              <w:t xml:space="preserve">[5, 12, 13, 18,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language of guidance a barrier?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  <w:p>
            <w:pPr>
              <w:jc w:val="left"/>
            </w:pPr>
            <w:r>
              <w:t xml:space="preserve">Are guidelines lacking for study type?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</w:t>
            </w:r>
          </w:p>
        </w:tc>
      </w:tr>
      <w:tr>
        <w:tc>
          <w:tcPr/>
          <w:p>
            <w:pPr>
              <w:jc w:val="left"/>
            </w:pPr>
            <w:r>
              <w:t xml:space="preserve">Is the layout OK?</w:t>
            </w:r>
            <w:r>
              <w:t xml:space="preserve"> </w:t>
            </w:r>
            <w:r>
              <w:t xml:space="preserve">[9, 13, 17]</w:t>
            </w:r>
          </w:p>
          <w:p>
            <w:pPr>
              <w:jc w:val="left"/>
            </w:pPr>
            <w:r>
              <w:t xml:space="preserve">Should the content be modified?</w:t>
            </w:r>
            <w:r>
              <w:t xml:space="preserve"> </w:t>
            </w:r>
            <w:r>
              <w:t xml:space="preserve">[9, 17, 22]</w:t>
            </w:r>
          </w:p>
          <w:p>
            <w:pPr>
              <w:jc w:val="left"/>
            </w:pPr>
            <w:r>
              <w:t xml:space="preserve">Is the guidance relevant?</w:t>
            </w:r>
            <w:r>
              <w:t xml:space="preserve"> </w:t>
            </w:r>
            <w:r>
              <w:t xml:space="preserve">[19]</w:t>
            </w:r>
          </w:p>
          <w:p>
            <w:pPr>
              <w:jc w:val="left"/>
            </w:pPr>
            <w:r>
              <w:t xml:space="preserve">Are guidelines prescriptive?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content</w:t>
            </w:r>
          </w:p>
        </w:tc>
      </w:tr>
      <w:tr>
        <w:tc>
          <w:tcPr/>
          <w:p>
            <w:pPr>
              <w:jc w:val="left"/>
            </w:pPr>
            <w:r>
              <w:t xml:space="preserve">Will using a guideline benefit the manuscript?</w:t>
            </w:r>
            <w:r>
              <w:t xml:space="preserve"> </w:t>
            </w:r>
            <w:r>
              <w:t xml:space="preserve">[1, 12, 13, 17]</w:t>
            </w:r>
          </w:p>
          <w:p>
            <w:pPr>
              <w:jc w:val="left"/>
            </w:pPr>
            <w:r>
              <w:t xml:space="preserve">Productivity benefits of using guidelines</w:t>
            </w:r>
            <w:r>
              <w:t xml:space="preserve"> </w:t>
            </w:r>
            <w:r>
              <w:t xml:space="preserve">[13]</w:t>
            </w:r>
          </w:p>
          <w:p>
            <w:pPr>
              <w:jc w:val="left"/>
            </w:pPr>
            <w:r>
              <w:t xml:space="preserve">Using guidelines because of journal requirements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funder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Using guidelines because of employment requirements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Using guidelines because of other researchers expecting it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Reasons for using a guideline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Opinions on reporting quality of the literature</w:t>
            </w:r>
            <w:r>
              <w:t xml:space="preserve"> </w:t>
            </w:r>
            <w:r>
              <w:t xml:space="preserve">[4, 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Opinions on reporting 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 guidelines easy to find and access</w:t>
            </w:r>
            <w:r>
              <w:t xml:space="preserve"> </w:t>
            </w:r>
            <w:r>
              <w:t xml:space="preserve">[5, 10,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should complete the checklist?</w:t>
            </w:r>
            <w:r>
              <w:t xml:space="preserve"> </w:t>
            </w:r>
            <w:r>
              <w:t xml:space="preserve">[5, 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Roles</w:t>
            </w:r>
          </w:p>
        </w:tc>
      </w:tr>
      <w:tr>
        <w:tc>
          <w:tcPr/>
          <w:p>
            <w:pPr>
              <w:jc w:val="left"/>
            </w:pPr>
            <w:r>
              <w:t xml:space="preserve">Are endorsements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increased chance of publication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evidence of improved reporting quality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explanatory information a facilitator?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training a facilitator?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  <w:p>
            <w:pPr>
              <w:jc w:val="left"/>
            </w:pPr>
            <w:r>
              <w:t xml:space="preserve">Is the behaviour of peers a facilitator or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Is the evidence base underlying a reporting guideline a motivator?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Is transparency in guideline development a motivator?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Facilitators and motivators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the aim of the guidance clear?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Aim of guidance</w:t>
            </w:r>
          </w:p>
        </w:tc>
      </w:tr>
    </w:tbl>
    <w:bookmarkEnd w:id="20"/>
    <w:bookmarkStart w:id="57" w:name="refs"/>
    <w:bookmarkStart w:id="21" w:name="ref-burfordTestingPRISMAEquity2012201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1"/>
    <w:bookmarkStart w:id="23" w:name="ref-daviesFindingsNovelApproach2016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2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3"/>
    <w:bookmarkStart w:id="25" w:name="ref-deweyImpactPerceivedValue201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5"/>
    <w:bookmarkStart w:id="26" w:name="ref-fangSurveyAwarenessARRIVE2015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6"/>
    <w:bookmarkStart w:id="28" w:name="ref-fullerWhatAffectsAuthors201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27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28"/>
    <w:bookmarkStart w:id="30" w:name="X1c6277b1cc187596beb1d545546d4c8e7e3e74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29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0"/>
    <w:bookmarkStart w:id="31" w:name="ref-guoRecognitionStatusQuality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1"/>
    <w:bookmarkStart w:id="33" w:name="Xcf295e23b15ac8a640006326da8af9447196941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32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33"/>
    <w:bookmarkStart w:id="34" w:name="Xa745f3c182cec1679b2b4fac2aeff366616649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4"/>
    <w:bookmarkStart w:id="36" w:name="ref-maSurveyBasicMedical2017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5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6"/>
    <w:bookmarkStart w:id="37" w:name="X2d0e4fd4d3285ffbac7f90432355d9d8a5d8629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37"/>
    <w:bookmarkStart w:id="39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sharpUsingSTROBEStatement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40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41"/>
    <w:bookmarkStart w:id="42" w:name="X7bb2eef00b82eee7040098ed1af6ffb9f6c8fa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42"/>
    <w:bookmarkStart w:id="44" w:name="ref-tamPerceptionPreferredReporting2019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43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brouwersAGREEReportingChecklist2016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48"/>
    <w:bookmarkStart w:id="49" w:name="Xbb8e36e9eabfc341c5b76cbb2a5772ca74c1b07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49"/>
    <w:bookmarkStart w:id="51" w:name="X690a0f161ffd510f508077af519386febce046d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0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1"/>
    <w:bookmarkStart w:id="52" w:name="ref-phillipsa.PilotTestingGuideline2015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52"/>
    <w:bookmarkStart w:id="54" w:name="ref-macleodMDARMaterialsDesign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4"/>
    <w:bookmarkStart w:id="56" w:name="ref-pageUpdatingGuidanceReporting2021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55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s00330-018-5980-3" TargetMode="External" /><Relationship Type="http://schemas.openxmlformats.org/officeDocument/2006/relationships/hyperlink" Id="rId40" Target="https://doi.org/10.1016/j.jclinepi.2019.07.019" TargetMode="External" /><Relationship Type="http://schemas.openxmlformats.org/officeDocument/2006/relationships/hyperlink" Id="rId55" Target="https://doi.org/10.1016/j.jclinepi.2021.02.003" TargetMode="External" /><Relationship Type="http://schemas.openxmlformats.org/officeDocument/2006/relationships/hyperlink" Id="rId53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47" Target="https://doi.org/10.1136/bmj.i1152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43" Target="https://doi.org/10.1136/bmjopen-2018-026271" TargetMode="External" /><Relationship Type="http://schemas.openxmlformats.org/officeDocument/2006/relationships/hyperlink" Id="rId22" Target="https://doi.org/10.1136/bmjqs-2015-004117" TargetMode="External" /><Relationship Type="http://schemas.openxmlformats.org/officeDocument/2006/relationships/hyperlink" Id="rId50" Target="https://doi.org/10.1186/s12874-021-01402-x" TargetMode="External" /><Relationship Type="http://schemas.openxmlformats.org/officeDocument/2006/relationships/hyperlink" Id="rId27" Target="https://doi.org/10.1371/journal.pone.0121585" TargetMode="External" /><Relationship Type="http://schemas.openxmlformats.org/officeDocument/2006/relationships/hyperlink" Id="rId35" Target="https://doi.org/10.1371/journal.pone.0174530" TargetMode="External" /><Relationship Type="http://schemas.openxmlformats.org/officeDocument/2006/relationships/hyperlink" Id="rId32" Target="https://doi.org/10.5152/TurkPediatriArs.2018.6167" TargetMode="External" /><Relationship Type="http://schemas.openxmlformats.org/officeDocument/2006/relationships/hyperlink" Id="rId29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2023-12-22T18:22:59Z</dcterms:created>
  <dcterms:modified xsi:type="dcterms:W3CDTF">2023-12-22T18:22:59Z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