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tbl-codes-from-qual"/>
    <w:p>
      <w:pPr>
        <w:pStyle w:val="TableCaption"/>
      </w:pPr>
      <w:r>
        <w:t xml:space="preserve">Table 1: Codes and descriptive themes identified from a qualitative evidence synthesis. Items in bold did not appear in the quantitative questions. Items in italic offer possible explanations to some quantitative findings.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Codes and descriptive themes identified from a qualitative evidence synthesis. Items in bold did not appear in the quantitative questions. Items in italic offer possible explanations to some quantitative findings."/>
      </w:tblPr>
      <w:tblGrid>
        <w:gridCol w:w="5977"/>
        <w:gridCol w:w="19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Descriptive Themes</w:t>
            </w:r>
          </w:p>
        </w:tc>
      </w:tr>
      <w:tr>
        <w:tc>
          <w:tcPr/>
          <w:p>
            <w:pPr>
              <w:jc w:val="left"/>
            </w:pPr>
            <w:r>
              <w:rPr>
                <w:iCs/>
                <w:i/>
              </w:rPr>
              <w:t xml:space="preserve">What does this term mean?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[1–5]</w:t>
            </w:r>
          </w:p>
          <w:p>
            <w:pPr>
              <w:jc w:val="left"/>
            </w:pPr>
            <w:r>
              <w:rPr>
                <w:iCs/>
                <w:i/>
              </w:rPr>
              <w:t xml:space="preserve">What does this item mean?</w:t>
            </w:r>
            <w:r>
              <w:t xml:space="preserve"> </w:t>
            </w:r>
            <w:r>
              <w:t xml:space="preserve">[1–6]</w:t>
            </w:r>
          </w:p>
          <w:p>
            <w:pPr>
              <w:jc w:val="left"/>
            </w:pPr>
            <w:r>
              <w:rPr>
                <w:iCs/>
                <w:i/>
              </w:rPr>
              <w:t xml:space="preserve">How are these items different?</w:t>
            </w:r>
            <w:r>
              <w:t xml:space="preserve"> </w:t>
            </w:r>
            <w:r>
              <w:t xml:space="preserve">[2, 4, 6, 7]</w:t>
            </w:r>
          </w:p>
          <w:p>
            <w:pPr>
              <w:jc w:val="left"/>
            </w:pPr>
            <w:r>
              <w:rPr>
                <w:iCs/>
                <w:i/>
              </w:rPr>
              <w:t xml:space="preserve">Have I understood this as intended?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[1, 2]</w:t>
            </w:r>
          </w:p>
          <w:p>
            <w:pPr>
              <w:jc w:val="left"/>
            </w:pPr>
            <w:r>
              <w:rPr>
                <w:iCs/>
                <w:i/>
              </w:rPr>
              <w:t xml:space="preserve">Examples help me understand items</w:t>
            </w:r>
            <w:r>
              <w:t xml:space="preserve"> </w:t>
            </w:r>
            <w:r>
              <w:t xml:space="preserve">[[CSL STYLE ERROR: reference with no printed form.];</w:t>
            </w:r>
            <w:r>
              <w:t xml:space="preserve"> </w:t>
            </w:r>
            <w:r>
              <w:t xml:space="preserve">[4]</w:t>
            </w:r>
            <w:r>
              <w:t xml:space="preserve">;</w:t>
            </w:r>
            <w:r>
              <w:t xml:space="preserve"> </w:t>
            </w:r>
            <w:r>
              <w:t xml:space="preserve">[8]</w:t>
            </w:r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does this mean?</w:t>
            </w:r>
          </w:p>
        </w:tc>
      </w:tr>
      <w:tr>
        <w:tc>
          <w:tcPr/>
          <w:p>
            <w:pPr>
              <w:jc w:val="left"/>
            </w:pPr>
            <w:r>
              <w:rPr>
                <w:iCs/>
                <w:i/>
              </w:rPr>
              <w:t xml:space="preserve">Why is this item important?</w:t>
            </w:r>
            <w:r>
              <w:t xml:space="preserve"> </w:t>
            </w:r>
            <w:r>
              <w:t xml:space="preserve">[2–4, 9]</w:t>
            </w:r>
          </w:p>
          <w:p>
            <w:pPr>
              <w:jc w:val="left"/>
            </w:pPr>
            <w:r>
              <w:rPr>
                <w:iCs/>
                <w:i/>
              </w:rPr>
              <w:t xml:space="preserve">Who is this item important to?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[2, 4, 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Why is this item important?</w:t>
            </w:r>
          </w:p>
        </w:tc>
      </w:tr>
      <w:tr>
        <w:tc>
          <w:tcPr/>
          <w:p>
            <w:pPr>
              <w:jc w:val="left"/>
            </w:pPr>
            <w:r>
              <w:rPr>
                <w:iCs/>
                <w:i/>
                <w:bCs/>
                <w:b/>
              </w:rPr>
              <w:t xml:space="preserve">Have I understood the guideline’s scope as intended?</w:t>
            </w:r>
            <w:r>
              <w:rPr>
                <w:iCs/>
                <w:i/>
                <w:bCs/>
                <w:b/>
              </w:rPr>
              <w:t xml:space="preserve"> </w:t>
            </w:r>
            <w:r>
              <w:rPr>
                <w:iCs/>
                <w:i/>
                <w:bCs/>
                <w:b/>
              </w:rPr>
              <w:t xml:space="preserve">[4, 5]</w:t>
            </w:r>
          </w:p>
          <w:p>
            <w:pPr>
              <w:jc w:val="left"/>
            </w:pPr>
            <w:r>
              <w:rPr>
                <w:iCs/>
                <w:i/>
                <w:bCs/>
                <w:b/>
              </w:rPr>
              <w:t xml:space="preserve">Does this item apply to me?</w:t>
            </w:r>
            <w:r>
              <w:t xml:space="preserve"> </w:t>
            </w:r>
            <w:r>
              <w:t xml:space="preserve">[2, 4–7]</w:t>
            </w:r>
          </w:p>
          <w:p>
            <w:pPr>
              <w:jc w:val="left"/>
            </w:pPr>
            <w:r>
              <w:rPr>
                <w:iCs/>
                <w:i/>
                <w:bCs/>
                <w:b/>
              </w:rPr>
              <w:t xml:space="preserve">Is this item optional?</w:t>
            </w:r>
            <w:r>
              <w:rPr>
                <w:iCs/>
                <w:i/>
                <w:bCs/>
                <w:b/>
              </w:rPr>
              <w:t xml:space="preserve"> </w:t>
            </w:r>
            <w:r>
              <w:rPr>
                <w:iCs/>
                <w:i/>
                <w:bCs/>
                <w:b/>
              </w:rPr>
              <w:t xml:space="preserve">[2, 6]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Does this apply to me?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What are reporting guidelines?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[10, 11]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How should I use a reporting guideline?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[12]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 don’t understand what reporting guidelines are</w:t>
            </w:r>
          </w:p>
        </w:tc>
      </w:tr>
      <w:tr>
        <w:tc>
          <w:tcPr/>
          <w:p>
            <w:pPr>
              <w:jc w:val="left"/>
            </w:pPr>
            <w:r>
              <w:t xml:space="preserve">I find guidelines useful in general</w:t>
            </w:r>
            <w:r>
              <w:t xml:space="preserve"> </w:t>
            </w:r>
            <w:r>
              <w:t xml:space="preserve">[5, 13]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Guidelines make me feel confident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[10]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Guidelines help me develop as a researcher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[10, 14]</w:t>
            </w:r>
          </w:p>
          <w:p>
            <w:pPr>
              <w:jc w:val="left"/>
            </w:pPr>
            <w:r>
              <w:t xml:space="preserve">Guidelines may help me improve my manuscript</w:t>
            </w:r>
            <w:r>
              <w:t xml:space="preserve"> </w:t>
            </w:r>
            <w:r>
              <w:t xml:space="preserve">[2, 7, 10, 13, 14]</w:t>
            </w:r>
          </w:p>
          <w:p>
            <w:pPr>
              <w:jc w:val="left"/>
            </w:pPr>
            <w:r>
              <w:t xml:space="preserve">I believe guidelines may help me publish more easily</w:t>
            </w:r>
            <w:r>
              <w:t xml:space="preserve"> </w:t>
            </w:r>
            <w:r>
              <w:t xml:space="preserve">[15]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Guidelines benefit me</w:t>
            </w:r>
          </w:p>
        </w:tc>
      </w:tr>
      <w:tr>
        <w:tc>
          <w:tcPr/>
          <w:p>
            <w:pPr>
              <w:jc w:val="left"/>
            </w:pPr>
            <w:r>
              <w:t xml:space="preserve">I may use guidelines because journals and editors tell me to</w:t>
            </w:r>
            <w:r>
              <w:t xml:space="preserve"> </w:t>
            </w:r>
            <w:r>
              <w:t xml:space="preserve">[10, 12, 14, 15]</w:t>
            </w:r>
          </w:p>
          <w:p>
            <w:pPr>
              <w:jc w:val="left"/>
            </w:pPr>
            <w:r>
              <w:t xml:space="preserve">I may use guidelines because other researchers expect it</w:t>
            </w:r>
            <w:r>
              <w:t xml:space="preserve"> </w:t>
            </w:r>
            <w:r>
              <w:t xml:space="preserve">[12, 15]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 use guidelines because of other people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Standardized reporting benefits the community</w:t>
            </w:r>
            <w:r>
              <w:t xml:space="preserve"> </w:t>
            </w:r>
            <w:r>
              <w:t xml:space="preserve">[10, 15, 16]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Guidelines benefit others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Immediate benefits are more important than hypothetical ones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[10, 15]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Personal benefits are more important than benefits to others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[15]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Some benefits are more important than others</w:t>
            </w:r>
          </w:p>
        </w:tc>
      </w:tr>
      <w:tr>
        <w:tc>
          <w:tcPr/>
          <w:p>
            <w:pPr>
              <w:jc w:val="left"/>
            </w:pPr>
            <w:r>
              <w:t xml:space="preserve">I use reporting guidelines for planning research</w:t>
            </w:r>
            <w:r>
              <w:t xml:space="preserve"> </w:t>
            </w:r>
            <w:r>
              <w:t xml:space="preserve">[2, 10]</w:t>
            </w:r>
          </w:p>
          <w:p>
            <w:pPr>
              <w:jc w:val="left"/>
            </w:pPr>
            <w:r>
              <w:t xml:space="preserve">I use reporting guidelines for designing research</w:t>
            </w:r>
            <w:r>
              <w:t xml:space="preserve"> </w:t>
            </w:r>
            <w:r>
              <w:t xml:space="preserve">[6, 10, 11, 13]</w:t>
            </w:r>
          </w:p>
          <w:p>
            <w:pPr>
              <w:jc w:val="left"/>
            </w:pPr>
            <w:r>
              <w:t xml:space="preserve">I use reporting guidelines for writing</w:t>
            </w:r>
            <w:r>
              <w:t xml:space="preserve"> </w:t>
            </w:r>
            <w:r>
              <w:t xml:space="preserve">[2, 6, 10, 13]</w:t>
            </w:r>
          </w:p>
          <w:p>
            <w:pPr>
              <w:jc w:val="left"/>
            </w:pPr>
            <w:r>
              <w:t xml:space="preserve">I use reporting guidelines for checking my own or other people’s writing</w:t>
            </w:r>
            <w:r>
              <w:t xml:space="preserve"> </w:t>
            </w:r>
            <w:r>
              <w:t xml:space="preserve">[10, 11]</w:t>
            </w:r>
          </w:p>
          <w:p>
            <w:pPr>
              <w:jc w:val="left"/>
            </w:pPr>
            <w:r>
              <w:t xml:space="preserve">I use reporting guidelines to appraise the quality of other people’s reporting</w:t>
            </w:r>
            <w:r>
              <w:t xml:space="preserve"> </w:t>
            </w:r>
            <w:r>
              <w:t xml:space="preserve">[3]</w:t>
            </w:r>
          </w:p>
          <w:p>
            <w:pPr>
              <w:jc w:val="left"/>
            </w:pPr>
            <w:r>
              <w:t xml:space="preserve">I use reporting guidelines for peer reviewing</w:t>
            </w:r>
            <w:r>
              <w:t xml:space="preserve"> </w:t>
            </w:r>
            <w:r>
              <w:t xml:space="preserve">[10]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Researchers use reporting guidelines for different tasks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I want items presented in the order in which I must do them [[CSL STYLE ERROR: reference with no printed form.];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[16]</w:t>
            </w:r>
            <w:r>
              <w:rPr>
                <w:bCs/>
                <w:b/>
              </w:rPr>
              <w:t xml:space="preserve">;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[8]</w:t>
            </w:r>
            <w:r>
              <w:rPr>
                <w:bCs/>
                <w:b/>
              </w:rPr>
              <w:t xml:space="preserve">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want design or methods advice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[2, 4, 10]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want templates for writing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[13]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want checklists that are easy to fill in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[5, 17]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want checklists embedded into journal submission workflows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[13]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want items embedded into data collection tools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[14]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 want guidance presented in formats that are better suited to the task I am doing</w:t>
            </w:r>
          </w:p>
        </w:tc>
      </w:tr>
      <w:tr>
        <w:tc>
          <w:tcPr/>
          <w:p>
            <w:pPr>
              <w:jc w:val="left"/>
            </w:pPr>
            <w:r>
              <w:t xml:space="preserve">Guidelines take time to read, understand and apply</w:t>
            </w:r>
            <w:r>
              <w:t xml:space="preserve"> </w:t>
            </w:r>
            <w:r>
              <w:t xml:space="preserve">[12, 14, 15]</w:t>
            </w:r>
          </w:p>
          <w:p>
            <w:pPr>
              <w:jc w:val="left"/>
            </w:pPr>
            <w:r>
              <w:t xml:space="preserve">Some items require extra work which takes time and effort</w:t>
            </w:r>
            <w:r>
              <w:t xml:space="preserve"> </w:t>
            </w:r>
            <w:r>
              <w:t xml:space="preserve">[1, 2, 18]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want an indication of which items to prioritize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[2, 6]</w:t>
            </w:r>
          </w:p>
          <w:p>
            <w:pPr>
              <w:jc w:val="left"/>
            </w:pPr>
            <w:r>
              <w:rPr>
                <w:iCs/>
                <w:i/>
              </w:rPr>
              <w:t xml:space="preserve">Perceived complexity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[2, 13, 15, 17]</w:t>
            </w:r>
          </w:p>
          <w:p>
            <w:pPr>
              <w:jc w:val="left"/>
            </w:pPr>
            <w:r>
              <w:rPr>
                <w:iCs/>
                <w:i/>
              </w:rPr>
              <w:t xml:space="preserve">Long guidelines are off-putting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[5, 7, 10, 14]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Guidelines take time</w:t>
            </w:r>
          </w:p>
        </w:tc>
      </w:tr>
      <w:tr>
        <w:tc>
          <w:tcPr/>
          <w:p>
            <w:pPr>
              <w:jc w:val="left"/>
            </w:pPr>
            <w:r>
              <w:rPr>
                <w:iCs/>
                <w:i/>
                <w:bCs/>
                <w:b/>
              </w:rPr>
              <w:t xml:space="preserve">Itemization helps me navigate guidance</w:t>
            </w:r>
            <w:r>
              <w:rPr>
                <w:iCs/>
                <w:i/>
                <w:bCs/>
                <w:b/>
              </w:rPr>
              <w:t xml:space="preserve">[4]</w:t>
            </w:r>
          </w:p>
          <w:p>
            <w:pPr>
              <w:jc w:val="left"/>
            </w:pPr>
            <w:r>
              <w:rPr>
                <w:iCs/>
                <w:i/>
                <w:bCs/>
                <w:b/>
              </w:rPr>
              <w:t xml:space="preserve">Itemization summarizes the guidance</w:t>
            </w:r>
            <w:r>
              <w:rPr>
                <w:iCs/>
                <w:i/>
                <w:bCs/>
                <w:b/>
              </w:rPr>
              <w:t xml:space="preserve">[13]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Itemization may decrease costs</w:t>
            </w:r>
          </w:p>
        </w:tc>
      </w:tr>
      <w:tr>
        <w:tc>
          <w:tcPr/>
          <w:p>
            <w:pPr>
              <w:jc w:val="left"/>
            </w:pPr>
            <w:r>
              <w:rPr>
                <w:iCs/>
                <w:i/>
                <w:bCs/>
                <w:b/>
              </w:rPr>
              <w:t xml:space="preserve">Itemization makes guidance appear longer</w:t>
            </w:r>
            <w:r>
              <w:rPr>
                <w:iCs/>
                <w:i/>
                <w:bCs/>
                <w:b/>
              </w:rPr>
              <w:t xml:space="preserve">[4]</w:t>
            </w:r>
          </w:p>
          <w:p>
            <w:pPr>
              <w:jc w:val="left"/>
            </w:pPr>
            <w:r>
              <w:rPr>
                <w:iCs/>
                <w:i/>
                <w:bCs/>
                <w:b/>
              </w:rPr>
              <w:t xml:space="preserve">Itemization blocks the bigger picture</w:t>
            </w:r>
            <w:r>
              <w:rPr>
                <w:iCs/>
                <w:i/>
                <w:bCs/>
                <w:b/>
              </w:rPr>
              <w:t xml:space="preserve">[2]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Itemization may increase perceived costs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Following reporting guidance can result in long, bloated articles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[2, 6, 7, 14]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Long, bloated articles may exceed journal word limits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[6, 7, 12, 17]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want options for where to report this item</w:t>
            </w:r>
            <w:r>
              <w:t xml:space="preserve"> </w:t>
            </w:r>
            <w:r>
              <w:t xml:space="preserve">[1, 2, 4, 7, 10, 12]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 think guidelines make my manuscripts long and bloated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  <w:bCs/>
                <w:b/>
              </w:rPr>
              <w:t xml:space="preserve">The benefits of using a reporting guideline may not outweigh the costs</w:t>
            </w:r>
            <w:r>
              <w:rPr>
                <w:iCs/>
                <w:i/>
                <w:bCs/>
                <w:b/>
              </w:rPr>
              <w:t xml:space="preserve"> </w:t>
            </w:r>
            <w:r>
              <w:rPr>
                <w:iCs/>
                <w:i/>
                <w:bCs/>
                <w:b/>
              </w:rPr>
              <w:t xml:space="preserve">[7, 10, 12]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The benefits of using a reporting guideline may not outweigh the costs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Guidelines are more valuable when used early</w:t>
            </w:r>
            <w:r>
              <w:t xml:space="preserve"> </w:t>
            </w:r>
            <w:r>
              <w:t xml:space="preserve">[2, 5, 10, 13]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balance of benefits vs costs may be more favourable when guidelines are used early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I would clarify this item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[4, 6]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would move this item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[1, 2]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would split this item into two</w:t>
            </w:r>
            <w:r>
              <w:t xml:space="preserve"> </w:t>
            </w:r>
            <w:r>
              <w:t xml:space="preserve">[2, 4, 8]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would add or remove items from this guideline</w:t>
            </w:r>
            <w:r>
              <w:t xml:space="preserve"> </w:t>
            </w:r>
            <w:r>
              <w:t xml:space="preserve">[2–4, 6]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would add or remove requirements from this item [[CSL STYLE ERROR: reference with no printed form.];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[4]</w:t>
            </w:r>
            <w:r>
              <w:rPr>
                <w:bCs/>
                <w:b/>
              </w:rPr>
              <w:t xml:space="preserve">;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[6]</w:t>
            </w:r>
            <w:r>
              <w:rPr>
                <w:bCs/>
                <w:b/>
              </w:rPr>
              <w:t xml:space="preserve">;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[10]</w:t>
            </w:r>
            <w:r>
              <w:rPr>
                <w:bCs/>
                <w:b/>
              </w:rPr>
              <w:t xml:space="preserve">;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[9]</w:t>
            </w:r>
            <w:r>
              <w:rPr>
                <w:bCs/>
                <w:b/>
              </w:rP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 think the guidance could be improved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Guidelines can become out of date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[2]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Guidelines need to be updated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[4]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Guidelines need to be kept updated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I cannot report this because I didn’t do it</w:t>
            </w:r>
            <w:r>
              <w:t xml:space="preserve"> </w:t>
            </w:r>
            <w:r>
              <w:t xml:space="preserve">[6]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cannot report this because of intellectual property issues</w:t>
            </w:r>
            <w:r>
              <w:t xml:space="preserve"> </w:t>
            </w:r>
            <w:r>
              <w:t xml:space="preserve">[7]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cannot report this because it clashes with journal guidelines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[4]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cannot report this because data was missing from my primary studies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[14]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Editors, reviewers or co-authors asked me to remove this item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[6, 18]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 feel unable to report this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I feel uncertain because I don’t know how to say that I didn’t do it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[4]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feel worried that I will be judged for transparently reporting something I didn’t do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[4, 10]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 feel nervous or uncertain if I am unable to report an item</w:t>
            </w:r>
          </w:p>
        </w:tc>
      </w:tr>
      <w:tr>
        <w:tc>
          <w:tcPr/>
          <w:p>
            <w:pPr>
              <w:jc w:val="left"/>
            </w:pPr>
            <w:r>
              <w:t xml:space="preserve">I may not know that reporting guidelines exist</w:t>
            </w:r>
            <w:r>
              <w:t xml:space="preserve"> </w:t>
            </w:r>
            <w:r>
              <w:t xml:space="preserve">[3, 5, 12, 13, 15]</w:t>
            </w:r>
          </w:p>
          <w:p>
            <w:pPr>
              <w:jc w:val="left"/>
            </w:pPr>
            <w:r>
              <w:t xml:space="preserve">I may not be able to easily access guidance</w:t>
            </w:r>
            <w:r>
              <w:t xml:space="preserve"> </w:t>
            </w:r>
            <w:r>
              <w:t xml:space="preserve">[5, 15]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 can only use what I know about and have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Reporting guidelines may be less valuable to experienced researchers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[7, 10, 13]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Experienced researchers feel that they already know how to report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[2, 10, 13]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Experienced researchers find guidance patronizing and feel untrusted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[4, 7, 12, 17]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Reporting guidelines are more valuable to inexperienced researchers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Reporting guidelines can be hard to use at first but get easier with experience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[2, 12, 15]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Reporting guidelines can be hard to use at first but get easier with experience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I want design or methodological advice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[4, 10, 17]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don’t know how to do this item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[2, 4, 6]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 want or need design advice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Guidelines are procedural straightjackets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[10]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This guideline is too prescriptive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[4, 9, 10]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 think this guidance prescribes how research should be designed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The guideline’s applicability criteria are not clear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[3, 5, 13]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guideline’s scope can be unclear</w:t>
            </w:r>
          </w:p>
        </w:tc>
      </w:tr>
      <w:tr>
        <w:tc>
          <w:tcPr/>
          <w:p>
            <w:pPr>
              <w:jc w:val="left"/>
            </w:pPr>
            <w:r>
              <w:rPr>
                <w:iCs/>
                <w:i/>
              </w:rPr>
              <w:t xml:space="preserve">This guideline isn’t a perfect fit for me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[5]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This guideline doesn’t generalise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[4, 9, 10, 13, 17]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This guideline is too prescriptive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[4, 9, 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guideline can be too narrow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 don’t want to see optional items that only apply to other types of study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[5, 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guideline’s scope can be too broad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I need to adhere to journal guidelines or other research guidelines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[4, 6, 12, 13]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might need to use multiple reporting guidelines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Authors often need to adhere to multiple sets of guidance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I want reporting guidelines to be linked or embedded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[3, 4]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want reporting guidelines to use similar structure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[4]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want reporting guidelines to use similar terms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[4]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 want guidelines to harmonize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I don’t like checklists</w:t>
            </w:r>
            <w:r>
              <w:rPr>
                <w:bCs/>
                <w:b/>
              </w:rPr>
              <w:t xml:space="preserve">[5, 7, 10, 13]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may use the checklist instead of the full guidance [[CSL STYLE ERROR: reference with no printed form.]]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may use the checklist before I read the full guidance [[CSL STYLE ERROR: reference with no printed form.]]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 experience reporting guidelines primarily as, or through, checklists</w:t>
            </w:r>
          </w:p>
        </w:tc>
      </w:tr>
    </w:tbl>
    <w:bookmarkEnd w:id="20"/>
    <w:bookmarkStart w:id="52" w:name="refs"/>
    <w:bookmarkStart w:id="22" w:name="ref-daviesFindingsNovelApproach2016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Davies L, Donnelly KZ, Goodman DJ, Ogrinc G (2016)</w:t>
      </w:r>
      <w:r>
        <w:t xml:space="preserve"> </w:t>
      </w:r>
      <w:hyperlink r:id="rId21">
        <w:r>
          <w:rPr>
            <w:rStyle w:val="Hyperlink"/>
          </w:rPr>
          <w:t xml:space="preserve">Findings from a novel approach to publication guideline revision: User road testing of a draft version 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SQUIRE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2.0</w:t>
        </w:r>
      </w:hyperlink>
      <w:r>
        <w:t xml:space="preserve">. BMJ quality &amp; safety 25:265–272</w:t>
      </w:r>
    </w:p>
    <w:bookmarkEnd w:id="22"/>
    <w:bookmarkStart w:id="24" w:name="ref-daviesSQUIREGuidelinesEvaluation2015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Davies L, Batalden P, Davidoff F, Stevens D, Ogrinc G (2015)</w:t>
      </w:r>
      <w:r>
        <w:t xml:space="preserve"> </w:t>
      </w:r>
      <w:hyperlink r:id="rId23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SQUIRE Guidelines</w:t>
        </w:r>
        <w:r>
          <w:rPr>
            <w:rStyle w:val="Hyperlink"/>
          </w:rPr>
          <w:t xml:space="preserve">: An evaluation from the field, 5</w:t>
        </w:r>
        <w:r>
          <w:rPr>
            <w:rStyle w:val="Hyperlink"/>
          </w:rPr>
          <w:t xml:space="preserve">years post release</w:t>
        </w:r>
      </w:hyperlink>
      <w:r>
        <w:t xml:space="preserve">. BMJ quality &amp; safety 24:769–775</w:t>
      </w:r>
    </w:p>
    <w:bookmarkEnd w:id="24"/>
    <w:bookmarkStart w:id="25" w:name="Xa745f3c182cec1679b2b4fac2aeff3666166499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Korevaar DA, Cohen JF, Reitsma JB, et al (2016) Updating standards for reporting diagnostic accuracy: The development of</w:t>
      </w:r>
      <w:r>
        <w:t xml:space="preserve"> </w:t>
      </w:r>
      <w:r>
        <w:t xml:space="preserve">STARD</w:t>
      </w:r>
      <w:r>
        <w:t xml:space="preserve"> </w:t>
      </w:r>
      <w:r>
        <w:t xml:space="preserve">2015. Research integrity and peer review 1:7</w:t>
      </w:r>
    </w:p>
    <w:bookmarkEnd w:id="25"/>
    <w:bookmarkStart w:id="27" w:name="ref-pageUpdatingGuidanceReporting2021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Page MJ, McKenzie JE, Bossuyt PM, Boutron I, Hoffmann TC, Mulrow CD, Shamseer L, Tetzlaff JM, Moher D (2021)</w:t>
      </w:r>
      <w:r>
        <w:t xml:space="preserve"> </w:t>
      </w:r>
      <w:hyperlink r:id="rId26">
        <w:r>
          <w:rPr>
            <w:rStyle w:val="Hyperlink"/>
          </w:rPr>
          <w:t xml:space="preserve">Updating guidance for reporting systematic reviews: Development of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PRISMA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2020 statement</w:t>
        </w:r>
      </w:hyperlink>
      <w:r>
        <w:t xml:space="preserve">. Journal of Clinical Epidemiology 134:103–112</w:t>
      </w:r>
    </w:p>
    <w:bookmarkEnd w:id="27"/>
    <w:bookmarkStart w:id="29" w:name="X690a0f161ffd510f508077af519386febce046d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Struthers C, Harwood J, de Beyer JA, Dhiman P, Logullo P, Schlüssel M (2021)</w:t>
      </w:r>
      <w:r>
        <w:t xml:space="preserve"> </w:t>
      </w:r>
      <w:hyperlink r:id="rId28">
        <w:r>
          <w:rPr>
            <w:rStyle w:val="Hyperlink"/>
          </w:rPr>
          <w:t xml:space="preserve">GoodReports</w:t>
        </w:r>
        <w:r>
          <w:rPr>
            <w:rStyle w:val="Hyperlink"/>
          </w:rPr>
          <w:t xml:space="preserve">: Developing a website to help health researchers find and use reporting guidelines</w:t>
        </w:r>
      </w:hyperlink>
      <w:r>
        <w:t xml:space="preserve">. BMC medical research methodology 21:217</w:t>
      </w:r>
    </w:p>
    <w:bookmarkEnd w:id="29"/>
    <w:bookmarkStart w:id="31" w:name="ref-pradyAssessingUtilityStandards2007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Prady SL, MacPherson H (2007)</w:t>
      </w:r>
      <w:r>
        <w:t xml:space="preserve"> </w:t>
      </w:r>
      <w:hyperlink r:id="rId30">
        <w:r>
          <w:rPr>
            <w:rStyle w:val="Hyperlink"/>
          </w:rPr>
          <w:t xml:space="preserve">Assessing the utility of the standards for reporting trials of acupuncture (</w:t>
        </w:r>
        <w:r>
          <w:rPr>
            <w:rStyle w:val="Hyperlink"/>
          </w:rPr>
          <w:t xml:space="preserve">STRICTA</w:t>
        </w:r>
        <w:r>
          <w:rPr>
            <w:rStyle w:val="Hyperlink"/>
          </w:rPr>
          <w:t xml:space="preserve">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survey of authors</w:t>
        </w:r>
      </w:hyperlink>
      <w:r>
        <w:t xml:space="preserve">. The Journal of Alternative and Complementary Medicine 13:939–943</w:t>
      </w:r>
    </w:p>
    <w:bookmarkEnd w:id="31"/>
    <w:bookmarkStart w:id="32" w:name="Xbb8e36e9eabfc341c5b76cbb2a5772ca74c1b07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Eysenbach G. (2013)</w:t>
      </w:r>
      <w:r>
        <w:t xml:space="preserve"> </w:t>
      </w:r>
      <w:r>
        <w:t xml:space="preserve">CONSORT-EHEALTH</w:t>
      </w:r>
      <w:r>
        <w:t xml:space="preserve">: Implementation of a checklist for authors and editors to improve reporting of web-based and mobile randomized controlled trials. Studies in health technology and informatics 192:657–661</w:t>
      </w:r>
    </w:p>
    <w:bookmarkEnd w:id="32"/>
    <w:bookmarkStart w:id="34" w:name="ref-devriesProtocolFormatPreparation2015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de Vries RBM, Hooijmans CR, Langendam MW, van Luijk J, Leenaars M, Ritskes-Hoitinga M, Wever KE (2015)</w:t>
      </w:r>
      <w:r>
        <w:t xml:space="preserve"> </w:t>
      </w:r>
      <w:hyperlink r:id="rId33">
        <w:r>
          <w:rPr>
            <w:rStyle w:val="Hyperlink"/>
          </w:rPr>
          <w:t xml:space="preserve">A protocol format for the preparation, registration and publication of systematic reviews of animal intervention studies</w:t>
        </w:r>
      </w:hyperlink>
      <w:r>
        <w:t xml:space="preserve">. Evidence-based Preclinical Medicine 2:e00007</w:t>
      </w:r>
    </w:p>
    <w:bookmarkEnd w:id="34"/>
    <w:bookmarkStart w:id="36" w:name="ref-tamPerceptionPreferredReporting2019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Tam WWS, Tang A, Woo B, Goh SYS (2019)</w:t>
      </w:r>
      <w:r>
        <w:t xml:space="preserve"> </w:t>
      </w:r>
      <w:hyperlink r:id="rId35">
        <w:r>
          <w:rPr>
            <w:rStyle w:val="Hyperlink"/>
          </w:rPr>
          <w:t xml:space="preserve">Perception of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Preferred Reporting Items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Systematic Reviews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Meta-Analyses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</w:t>
        </w:r>
        <w:r>
          <w:rPr>
            <w:rStyle w:val="Hyperlink"/>
          </w:rPr>
          <w:t xml:space="preserve">PRISMA</w:t>
        </w:r>
        <w:r>
          <w:rPr>
            <w:rStyle w:val="Hyperlink"/>
          </w:rPr>
          <w:t xml:space="preserve">) statement of authors publishing reviews in nursing journals: A cross-sectional online survey</w:t>
        </w:r>
      </w:hyperlink>
      <w:r>
        <w:t xml:space="preserve">. BMJ Open 9:e026271</w:t>
      </w:r>
    </w:p>
    <w:bookmarkEnd w:id="36"/>
    <w:bookmarkStart w:id="37" w:name="ref-sharpOnlineSurveySTROBE2020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Sharp MK, Glonti K, Hren D (2020) Online survey about the</w:t>
      </w:r>
      <w:r>
        <w:t xml:space="preserve"> </w:t>
      </w:r>
      <w:r>
        <w:t xml:space="preserve">STROBE</w:t>
      </w:r>
      <w:r>
        <w:t xml:space="preserve"> </w:t>
      </w:r>
      <w:r>
        <w:t xml:space="preserve">statement highlighted diverging views about its content, purpose, and value. Journal of clinical epidemiology 123:100–106</w:t>
      </w:r>
    </w:p>
    <w:bookmarkEnd w:id="37"/>
    <w:bookmarkStart w:id="39" w:name="ref-pragerBarriersReportingGuideline2021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Prager R, Gagnon L, Bowdridge J, Unni RR, McGrath TA, Cobey K, Bossuyt PM, McInnes MDF (2021)</w:t>
      </w:r>
      <w:r>
        <w:t xml:space="preserve"> </w:t>
      </w:r>
      <w:hyperlink r:id="rId38">
        <w:r>
          <w:rPr>
            <w:rStyle w:val="Hyperlink"/>
          </w:rPr>
          <w:t xml:space="preserve">Barriers to reporting guideline adherence in point-of-care ultrasound research: A cross-sectional survey of authors and journal editors</w:t>
        </w:r>
      </w:hyperlink>
      <w:r>
        <w:t xml:space="preserve">. BMJ Evidence-Based Medicine bmjebm-2020-111604</w:t>
      </w:r>
    </w:p>
    <w:bookmarkEnd w:id="39"/>
    <w:bookmarkStart w:id="41" w:name="ref-fullerWhatAffectsAuthors2015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Fuller T, Pearson M, Peters J, Anderson R (2015)</w:t>
      </w:r>
      <w:r>
        <w:t xml:space="preserve"> </w:t>
      </w:r>
      <w:hyperlink r:id="rId40">
        <w:r>
          <w:rPr>
            <w:rStyle w:val="Hyperlink"/>
          </w:rPr>
          <w:t xml:space="preserve">What affects authors’ and editors’ use of reporting guidelines?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Findings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from an online survey and qualitative interviews.</w:t>
        </w:r>
      </w:hyperlink>
      <w:r>
        <w:t xml:space="preserve"> PLoS ONE 10:e0121585</w:t>
      </w:r>
    </w:p>
    <w:bookmarkEnd w:id="41"/>
    <w:bookmarkStart w:id="43" w:name="ref-deweyImpactPerceivedValue2019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Dewey M, Levine D, Bossuyt PM, Kressel HY (2019)</w:t>
      </w:r>
      <w:r>
        <w:t xml:space="preserve"> </w:t>
      </w:r>
      <w:hyperlink r:id="rId42">
        <w:r>
          <w:rPr>
            <w:rStyle w:val="Hyperlink"/>
          </w:rPr>
          <w:t xml:space="preserve">Impact and perceived value of journal reporting guidelines among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Radiology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authors and reviewers</w:t>
        </w:r>
      </w:hyperlink>
      <w:r>
        <w:t xml:space="preserve">. European Radiology 29:3986–3995</w:t>
      </w:r>
    </w:p>
    <w:bookmarkEnd w:id="43"/>
    <w:bookmarkStart w:id="44" w:name="ref-burfordTestingPRISMAEquity20122013"/>
    <w:p>
      <w:pPr>
        <w:pStyle w:val="Bibliography"/>
      </w:pPr>
      <w:r>
        <w:t xml:space="preserve">14.</w:t>
      </w:r>
      <w:r>
        <w:t xml:space="preserve"> </w:t>
      </w:r>
      <w:r>
        <w:t xml:space="preserve">	</w:t>
      </w:r>
      <w:r>
        <w:t xml:space="preserve">Burford BJ, Welch V, Waters E, Tugwell P, Moher D, O’Neill J, Koehlmoos T, Petticrew M (2013) Testing the</w:t>
      </w:r>
      <w:r>
        <w:t xml:space="preserve"> </w:t>
      </w:r>
      <w:r>
        <w:t xml:space="preserve">PRISMA-Equity</w:t>
      </w:r>
      <w:r>
        <w:t xml:space="preserve"> </w:t>
      </w:r>
      <w:r>
        <w:t xml:space="preserve">2012 reporting guideline: The perspectives of systematic review authors. PloS one 8:e75122</w:t>
      </w:r>
    </w:p>
    <w:bookmarkEnd w:id="44"/>
    <w:bookmarkStart w:id="46" w:name="X5971da819ab33f225cbe6afcc4fa6d6b3c7ebaf"/>
    <w:p>
      <w:pPr>
        <w:pStyle w:val="Bibliography"/>
      </w:pPr>
      <w:r>
        <w:t xml:space="preserve">15.</w:t>
      </w:r>
      <w:r>
        <w:t xml:space="preserve"> </w:t>
      </w:r>
      <w:r>
        <w:t xml:space="preserve">	</w:t>
      </w:r>
      <w:r>
        <w:t xml:space="preserve">Svensøy JN, Nilsson H, Rimstad R (2021)</w:t>
      </w:r>
      <w:r>
        <w:t xml:space="preserve"> </w:t>
      </w:r>
      <w:hyperlink r:id="rId45">
        <w:r>
          <w:rPr>
            <w:rStyle w:val="Hyperlink"/>
          </w:rPr>
          <w:t xml:space="preserve">A qualitative study on researchers’ experiences after publishing scientific reports on major incidents, mass-casualty incidents, and disasters</w:t>
        </w:r>
      </w:hyperlink>
      <w:r>
        <w:t xml:space="preserve">. Prehospital and Disaster Medicine 36:536–542</w:t>
      </w:r>
    </w:p>
    <w:bookmarkEnd w:id="46"/>
    <w:bookmarkStart w:id="48" w:name="ref-pagePRISMA2020Statement2021"/>
    <w:p>
      <w:pPr>
        <w:pStyle w:val="Bibliography"/>
      </w:pPr>
      <w:r>
        <w:t xml:space="preserve">16.</w:t>
      </w:r>
      <w:r>
        <w:t xml:space="preserve"> </w:t>
      </w:r>
      <w:r>
        <w:t xml:space="preserve">	</w:t>
      </w:r>
      <w:r>
        <w:t xml:space="preserve">Page MJ, McKenzie JE, Bossuyt PM, et al (2021)</w:t>
      </w:r>
      <w:r>
        <w:t xml:space="preserve"> </w:t>
      </w:r>
      <w:hyperlink r:id="rId47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PRISMA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2020 statement: An updated guideline for reporting systematic reviews</w:t>
        </w:r>
      </w:hyperlink>
      <w:r>
        <w:t xml:space="preserve">. BMJ (Clinical research ed) 372:n71</w:t>
      </w:r>
    </w:p>
    <w:bookmarkEnd w:id="48"/>
    <w:bookmarkStart w:id="50" w:name="ref-macleodMDARMaterialsDesign2021"/>
    <w:p>
      <w:pPr>
        <w:pStyle w:val="Bibliography"/>
      </w:pPr>
      <w:r>
        <w:t xml:space="preserve">17.</w:t>
      </w:r>
      <w:r>
        <w:t xml:space="preserve"> </w:t>
      </w:r>
      <w:r>
        <w:t xml:space="preserve">	</w:t>
      </w:r>
      <w:r>
        <w:t xml:space="preserve">Macleod M, Collings AM, Graf C, Kiermer V, Mellor D, Swaminathan S, Sweet D, Vinson V (2021)</w:t>
      </w:r>
      <w:r>
        <w:t xml:space="preserve"> </w:t>
      </w:r>
      <w:hyperlink r:id="rId49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MDAR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</w:t>
        </w:r>
        <w:r>
          <w:rPr>
            <w:rStyle w:val="Hyperlink"/>
          </w:rPr>
          <w:t xml:space="preserve">Materials Design Analysis Reporting</w:t>
        </w:r>
        <w:r>
          <w:rPr>
            <w:rStyle w:val="Hyperlink"/>
          </w:rPr>
          <w:t xml:space="preserve">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Framework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 transparent reporting in the life sciences</w:t>
        </w:r>
      </w:hyperlink>
      <w:r>
        <w:t xml:space="preserve">. Proceedings of the National Academy of Sciences 118:e2103238118</w:t>
      </w:r>
    </w:p>
    <w:bookmarkEnd w:id="50"/>
    <w:bookmarkStart w:id="51" w:name="X7bb2eef00b82eee7040098ed1af6ffb9f6c8fa4"/>
    <w:p>
      <w:pPr>
        <w:pStyle w:val="Bibliography"/>
      </w:pPr>
      <w:r>
        <w:t xml:space="preserve">18.</w:t>
      </w:r>
      <w:r>
        <w:t xml:space="preserve"> </w:t>
      </w:r>
      <w:r>
        <w:t xml:space="preserve">	</w:t>
      </w:r>
      <w:r>
        <w:t xml:space="preserve">Rader T., Mann M., Stansfield C., Cooper C., Sampson M. (2014) Methods for documenting systematic review searches: A discussion of common issues. Research synthesis methods 5:98–115</w:t>
      </w:r>
    </w:p>
    <w:bookmarkEnd w:id="51"/>
    <w:bookmarkEnd w:id="52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D80FF0"/>
    <w:pPr>
      <w:keepNext/>
      <w:keepLines/>
      <w:pageBreakBefore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D80FF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doi.org/10.1002/ebm2.7" TargetMode="External" /><Relationship Type="http://schemas.openxmlformats.org/officeDocument/2006/relationships/hyperlink" Id="rId42" Target="https://doi.org/10.1007/s00330-018-5980-3" TargetMode="External" /><Relationship Type="http://schemas.openxmlformats.org/officeDocument/2006/relationships/hyperlink" Id="rId26" Target="https://doi.org/10.1016/j.jclinepi.2021.02.003" TargetMode="External" /><Relationship Type="http://schemas.openxmlformats.org/officeDocument/2006/relationships/hyperlink" Id="rId45" Target="https://doi.org/10.1017/S1049023X21000911" TargetMode="External" /><Relationship Type="http://schemas.openxmlformats.org/officeDocument/2006/relationships/hyperlink" Id="rId49" Target="https://doi.org/10.1073/pnas.2103238118" TargetMode="External" /><Relationship Type="http://schemas.openxmlformats.org/officeDocument/2006/relationships/hyperlink" Id="rId30" Target="https://doi.org/10.1089/acm.2007.7186" TargetMode="External" /><Relationship Type="http://schemas.openxmlformats.org/officeDocument/2006/relationships/hyperlink" Id="rId47" Target="https://doi.org/10.1136/bmj.n71" TargetMode="External" /><Relationship Type="http://schemas.openxmlformats.org/officeDocument/2006/relationships/hyperlink" Id="rId38" Target="https://doi.org/10.1136/bmjebm-2020-111604" TargetMode="External" /><Relationship Type="http://schemas.openxmlformats.org/officeDocument/2006/relationships/hyperlink" Id="rId35" Target="https://doi.org/10.1136/bmjopen-2018-026271" TargetMode="External" /><Relationship Type="http://schemas.openxmlformats.org/officeDocument/2006/relationships/hyperlink" Id="rId23" Target="https://doi.org/10.1136/bmjqs-2015-004116" TargetMode="External" /><Relationship Type="http://schemas.openxmlformats.org/officeDocument/2006/relationships/hyperlink" Id="rId21" Target="https://doi.org/10.1136/bmjqs-2015-004117" TargetMode="External" /><Relationship Type="http://schemas.openxmlformats.org/officeDocument/2006/relationships/hyperlink" Id="rId28" Target="https://doi.org/10.1186/s12874-021-01402-x" TargetMode="External" /><Relationship Type="http://schemas.openxmlformats.org/officeDocument/2006/relationships/hyperlink" Id="rId40" Target="https://doi.org/10.1371/journal.pone.012158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doi.org/10.1002/ebm2.7" TargetMode="External" /><Relationship Type="http://schemas.openxmlformats.org/officeDocument/2006/relationships/hyperlink" Id="rId42" Target="https://doi.org/10.1007/s00330-018-5980-3" TargetMode="External" /><Relationship Type="http://schemas.openxmlformats.org/officeDocument/2006/relationships/hyperlink" Id="rId26" Target="https://doi.org/10.1016/j.jclinepi.2021.02.003" TargetMode="External" /><Relationship Type="http://schemas.openxmlformats.org/officeDocument/2006/relationships/hyperlink" Id="rId45" Target="https://doi.org/10.1017/S1049023X21000911" TargetMode="External" /><Relationship Type="http://schemas.openxmlformats.org/officeDocument/2006/relationships/hyperlink" Id="rId49" Target="https://doi.org/10.1073/pnas.2103238118" TargetMode="External" /><Relationship Type="http://schemas.openxmlformats.org/officeDocument/2006/relationships/hyperlink" Id="rId30" Target="https://doi.org/10.1089/acm.2007.7186" TargetMode="External" /><Relationship Type="http://schemas.openxmlformats.org/officeDocument/2006/relationships/hyperlink" Id="rId47" Target="https://doi.org/10.1136/bmj.n71" TargetMode="External" /><Relationship Type="http://schemas.openxmlformats.org/officeDocument/2006/relationships/hyperlink" Id="rId38" Target="https://doi.org/10.1136/bmjebm-2020-111604" TargetMode="External" /><Relationship Type="http://schemas.openxmlformats.org/officeDocument/2006/relationships/hyperlink" Id="rId35" Target="https://doi.org/10.1136/bmjopen-2018-026271" TargetMode="External" /><Relationship Type="http://schemas.openxmlformats.org/officeDocument/2006/relationships/hyperlink" Id="rId23" Target="https://doi.org/10.1136/bmjqs-2015-004116" TargetMode="External" /><Relationship Type="http://schemas.openxmlformats.org/officeDocument/2006/relationships/hyperlink" Id="rId21" Target="https://doi.org/10.1136/bmjqs-2015-004117" TargetMode="External" /><Relationship Type="http://schemas.openxmlformats.org/officeDocument/2006/relationships/hyperlink" Id="rId28" Target="https://doi.org/10.1186/s12874-021-01402-x" TargetMode="External" /><Relationship Type="http://schemas.openxmlformats.org/officeDocument/2006/relationships/hyperlink" Id="rId40" Target="https://doi.org/10.1371/journal.pone.012158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2024-01-17T18:31:31Z</dcterms:created>
  <dcterms:modified xsi:type="dcterms:W3CDTF">2024-01-17T18:31:31Z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ommitID">
    <vt:lpwstr>COMMITID</vt:lpwstr>
  </property>
  <property fmtid="{D5CDD505-2E9C-101B-9397-08002B2CF9AE}" pid="7" name="crossref">
    <vt:lpwstr/>
  </property>
  <property fmtid="{D5CDD505-2E9C-101B-9397-08002B2CF9AE}" pid="8" name="csl">
    <vt:lpwstr>../../springer-vancouver.csl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number-depth">
    <vt:lpwstr>2</vt:lpwstr>
  </property>
  <property fmtid="{D5CDD505-2E9C-101B-9397-08002B2CF9AE}" pid="14" name="toc-title">
    <vt:lpwstr>Table of contents</vt:lpwstr>
  </property>
</Properties>
</file>