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study-list"/>
    <w:p>
      <w:pPr>
        <w:pStyle w:val="TableCaption"/>
      </w:pPr>
      <w:r>
        <w:t xml:space="preserve">Table 1: Studies that collected quantitative data to explore researcher’s experiences of 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Studies that collected quantitative data to explore researcher’s experiences of reporting guidelines"/>
      </w:tblPr>
      <w:tblGrid>
        <w:gridCol w:w="1067"/>
        <w:gridCol w:w="1067"/>
        <w:gridCol w:w="1334"/>
        <w:gridCol w:w="2313"/>
        <w:gridCol w:w="1067"/>
        <w:gridCol w:w="10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Citation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Guidelines studied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geographics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Quantitative or 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Brouwers et al. 2016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AGREE Reporting Checklist: a tool to improve reporting of clinical practice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 Reporting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Burford, Welch, Waters et al., 2013</w:t>
            </w:r>
            <w:r>
              <w:t xml:space="preserve"> 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the PRISMA-Equity 2012 reporting guideline: the perspectives of systematic review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PRISMA-Equity Checklist items embedded into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Davies, Donnelly, Goodman, Ogrinc 2016</w:t>
            </w:r>
            <w:r>
              <w:t xml:space="preserve"> 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Findings from a novel approach to publication guideline revision: user road testing of a draft version of SQUIRE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SQUIRE Guidelines, which are presented as a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but invited participants were from USA, UK Lebanon, Sweden.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Dewey, Levine, Bossuyt et al., 2019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 and perceived value of journal reporting guidelines among Radiology authors and 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STROBE, PRISMA, STARD checklists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Canada, China, South Korea, Japan, Germany, France , Italy, UK, Other European countries, Middle East, Latin America and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Eysenbach, 2013</w:t>
            </w:r>
            <w:r>
              <w:t xml:space="preserve"> 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CONSORT-EHEALTH: Implementation of a Checklist for Authors and editors to improve reporting of web-based and mobile randomized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CONSORT-Ehealth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Fang, Xi, Liu et al. 2016</w:t>
            </w:r>
            <w:r>
              <w:t xml:space="preserve"> 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survey on awareness of the ARRIVE Guideline and GSPC in researchers field in animal experiments field in Lanzhou 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Fuller, Pearson, Peters, Anderson, 2015</w:t>
            </w:r>
            <w:r>
              <w:t xml:space="preserve"> 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affects authors’ and editors’ use of reporting guidelines? Findings from an online survey and qualitative interviews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 and 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Predominantly North America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Giray et al. 2020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 of the knowledge and awareness of a sample of young researcher physicians on reporting guidelines and the EQUATOR network: A single center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CONSORT, PRISMA, CARE, GRASS, STARD, STROBE, ARRIVE, SAMPL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Guo, Qi, Yang et al., 2018</w:t>
            </w:r>
            <w:r>
              <w:t xml:space="preserve"> 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Recognition status of quality assessment and standards for reporting randomized controlled trials of traditional Chinese medicine researchers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Statement, STRICTA guidelines and CONSORT extension for Traditional Chinese Medicine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Korevaar, Cohen, Reitsma, et al, 2016</w:t>
            </w:r>
            <w:r>
              <w:t xml:space="preserve"> 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standards for reporting diagnostic accuracy: the development of STARD 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 for quantitative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 et al. 2017</w:t>
            </w:r>
            <w:r>
              <w:t xml:space="preserve"> 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Survey of basic medical researchers on the awareness of animal experimental designs and reporting standards in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ARRIVE guidelines and Gold Standard Publication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Macleod, Collings, Graf et al. 2021</w:t>
            </w:r>
            <w:r>
              <w:t xml:space="preserve"> 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MDAR (Materials Design Analysis Reporting) Framework for transparent reporting in the life sciences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MDAR checklist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China, Japan, Germany, Other EU,</w:t>
            </w:r>
            <w:r>
              <w:t xml:space="preserve"> </w:t>
            </w:r>
            <w:r>
              <w:t xml:space="preserve">‘</w:t>
            </w:r>
            <w:r>
              <w:t xml:space="preserve">Other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McDonough et al. 2011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Familiarity of non-industry authors with good publication practice and clinical data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USA, UK, Canada, South Africa, Israel, China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Öncel et al. 2018</w:t>
            </w:r>
            <w:r>
              <w:t xml:space="preserve"> </w:t>
            </w:r>
            <w:r>
              <w:t xml:space="preserve">[14]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Knowledge and awareness of optimal use of reporting guidelines in paediatricians: A cross-sectional study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CONSORT guidelines, STROBE, PRISMA, CARE, SRQR, STARD, SQUIRE, CHEERS, SPIRIT, ARRIVE, TREND, STREGA, the Conference on Guideline Standardization (COGS), Outbreak Reports and Intervention Studies Of Nosocomial infection (ORION)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Page, McKenzie, Bossuyt et al. 2021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Updating guidance for reporting systematic reviews: development of the PRISMA 2020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Prady &amp; MacPherson 2007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the Utility of the Standards for Reporting Trials of Acupuncture (STRICTA): A survey of authors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Prager, Gannon, Bowdridge et al. 2021</w:t>
            </w:r>
            <w:r>
              <w:t xml:space="preserve"> </w:t>
            </w:r>
            <w:r>
              <w:t xml:space="preserve">[17]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Barriers to reporting guideline adherence in point-of care ultrasound research: a cross- sectional survey of authors and journal editors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Phillips et al 2015</w:t>
            </w:r>
            <w:r>
              <w:t xml:space="preserve"> </w:t>
            </w:r>
            <w:r>
              <w:t xml:space="preserve">[18]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Pilot testing of the Guideline for Reporting of Evidence-Based Practice Educational Interventions and Teaching (GREET)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GREET checklist and E&amp;E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Rader, Mann, Stransfield et al., 2014</w:t>
            </w:r>
            <w:r>
              <w:t xml:space="preserve"> </w:t>
            </w:r>
            <w:r>
              <w:t xml:space="preserve">[19]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Methods for documenting systematic review searches: a discussion of common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Sharp, Glonti, Hren, 2020</w:t>
            </w:r>
            <w:r>
              <w:t xml:space="preserve"> </w:t>
            </w:r>
            <w:r>
              <w:t xml:space="preserve">[20]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the STROBE statement: survey ﬁndings emphasized the role of journals in enforcing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full survey was answered by participants in Africa, Asia, Europe, North and South America, Middle East, and Pacific Region. It is unclear who answered the free text question.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Struthers, Harwood, de Beyer et al., 2021</w:t>
            </w:r>
            <w:r>
              <w:t xml:space="preserve"> </w:t>
            </w:r>
            <w:r>
              <w:t xml:space="preserve">[21]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GoodReports: developing a website to help health researchers find and use reporting guidelines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in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Tam, Tang, Woo, Goh 2019</w:t>
            </w:r>
            <w:r>
              <w:t xml:space="preserve"> </w:t>
            </w:r>
            <w:r>
              <w:t xml:space="preserve">[22]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Perception of the Preferred Reporting Items for Systematic Reviews and Meta Analyses (PRISMA) statement of authors publishing reviews in nursing journals: a cross-sectional online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methods</w:t>
            </w:r>
          </w:p>
        </w:tc>
      </w:tr>
    </w:tbl>
    <w:bookmarkEnd w:id="20"/>
    <w:bookmarkStart w:id="57" w:name="refs"/>
    <w:bookmarkStart w:id="22" w:name="ref-brouwersAGREEReportingChecklist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Brouwers MC, Kerkvliet K, Spithoff K, Consortium ANS (2016)</w:t>
      </w:r>
      <w:r>
        <w:t xml:space="preserve"> </w:t>
      </w:r>
      <w:hyperlink r:id="rId2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AGREE Reporting Checklist</w:t>
        </w:r>
        <w:r>
          <w:rPr>
            <w:rStyle w:val="Hyperlink"/>
          </w:rPr>
          <w:t xml:space="preserve">: A tool to improve reporting of clinical practice guidelines</w:t>
        </w:r>
      </w:hyperlink>
      <w:r>
        <w:t xml:space="preserve">. BMJ 352:i1152</w:t>
      </w:r>
    </w:p>
    <w:bookmarkEnd w:id="22"/>
    <w:bookmarkStart w:id="23" w:name="ref-burfordTestingPRISMAEquity2012201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23"/>
    <w:bookmarkStart w:id="25" w:name="ref-daviesFindingsNovelApproach2016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4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5"/>
    <w:bookmarkStart w:id="27" w:name="ref-deweyImpactPerceivedValue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26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27"/>
    <w:bookmarkStart w:id="28" w:name="Xbb8e36e9eabfc341c5b76cbb2a5772ca74c1b07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28"/>
    <w:bookmarkStart w:id="29" w:name="ref-fangSurveyAwarenessARRIVE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Fang Z.-P., Leng X., Liu Y.-L., Liu W.-B., Hu W.-J., Zhang Z.-J., Ma B., Li D.-M. (2015)</w:t>
      </w:r>
      <w:r>
        <w:t xml:space="preserve"> </w:t>
      </w:r>
      <w:r>
        <w:t xml:space="preserve">A survey on awareness of the ARRIVE guideline and GSPC in researchers field in animal experiments field in Lanzhou city</w:t>
      </w:r>
      <w:r>
        <w:t xml:space="preserve">. Chinese Journal of Evidence-Based Medicine 15:797–801</w:t>
      </w:r>
    </w:p>
    <w:bookmarkEnd w:id="29"/>
    <w:bookmarkStart w:id="31" w:name="ref-fullerWhatAffectsAuthors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30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31"/>
    <w:bookmarkStart w:id="33" w:name="X1c6277b1cc187596beb1d545546d4c8e7e3e745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Gi̇ray E, Coskun OK, Karacaatli M, Gunduz OH, Yagci İ (2020)</w:t>
      </w:r>
      <w:r>
        <w:t xml:space="preserve"> </w:t>
      </w:r>
      <w:hyperlink r:id="rId32">
        <w:r>
          <w:rPr>
            <w:rStyle w:val="Hyperlink"/>
          </w:rPr>
          <w:t xml:space="preserve">Assessment of the knowledge and awareness of a sample of young researcher physicians on reporting guidelines and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EQUATOR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single center cross-sectional study</w:t>
        </w:r>
      </w:hyperlink>
      <w:r>
        <w:t xml:space="preserve">. Marmara Medical Journal 33:1–6</w:t>
      </w:r>
    </w:p>
    <w:bookmarkEnd w:id="33"/>
    <w:bookmarkStart w:id="34" w:name="ref-guoRecognitionStatusQuality2018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Guo S, Qi S, Yang L, Wang X, Zhu Q, Meng X, Zeng Y, Institute M and A of, China SMC of A (2018) Recognition status of quality assessment and standards for reporting randomized controlled trials of traditional</w:t>
      </w:r>
      <w:r>
        <w:t xml:space="preserve"> </w:t>
      </w:r>
      <w:r>
        <w:t xml:space="preserve">Chinese</w:t>
      </w:r>
      <w:r>
        <w:t xml:space="preserve"> </w:t>
      </w:r>
      <w:r>
        <w:t xml:space="preserve">medicine researchers. China Journal of Traditional Chinese Medicine and Pharmacy 1077–1081</w:t>
      </w:r>
    </w:p>
    <w:bookmarkEnd w:id="34"/>
    <w:bookmarkStart w:id="35" w:name="Xa745f3c182cec1679b2b4fac2aeff366616649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35"/>
    <w:bookmarkStart w:id="37" w:name="ref-maSurveyBasicMedical2017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Ma B, Xu J, Wu W, Liu H, Kou C, Liu N, Zhao L (2017)</w:t>
      </w:r>
      <w:r>
        <w:t xml:space="preserve"> </w:t>
      </w:r>
      <w:hyperlink r:id="rId36">
        <w:r>
          <w:rPr>
            <w:rStyle w:val="Hyperlink"/>
          </w:rPr>
          <w:t xml:space="preserve">Survey of basic medical researchers on the awareness of animal experimental designs and reporting standards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China</w:t>
        </w:r>
      </w:hyperlink>
      <w:r>
        <w:t xml:space="preserve">. PLoS ONE 12:e0174530</w:t>
      </w:r>
    </w:p>
    <w:bookmarkEnd w:id="37"/>
    <w:bookmarkStart w:id="39" w:name="ref-macleodMDARMaterialsDesign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38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39"/>
    <w:bookmarkStart w:id="40" w:name="X2d0e4fd4d3285ffbac7f90432355d9d8a5d8629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McDonough J., O’Dunne A., B. C, Margerum B., Sutton D. (2011) Familiarity of non-industry authors with good publication practice and clinical data reporting guidelines. Current Medical Research and Opinion 27:S9</w:t>
      </w:r>
    </w:p>
    <w:bookmarkEnd w:id="40"/>
    <w:bookmarkStart w:id="42" w:name="Xcf295e23b15ac8a640006326da8af9447196941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Karadağ Öncel E, Başaranoğlu ST, Aykaç K, Kömürlüoğlu A, Akman AÖ, Kıran S (2018)</w:t>
      </w:r>
      <w:r>
        <w:t xml:space="preserve"> </w:t>
      </w:r>
      <w:hyperlink r:id="rId41">
        <w:r>
          <w:rPr>
            <w:rStyle w:val="Hyperlink"/>
          </w:rPr>
          <w:t xml:space="preserve">Knowledge and awareness of optimal use of reporting guidelines in paediatricians: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cross-sectional study</w:t>
        </w:r>
      </w:hyperlink>
      <w:r>
        <w:t xml:space="preserve">. Turk Pediatri Arsivi 53:163–168</w:t>
      </w:r>
    </w:p>
    <w:bookmarkEnd w:id="42"/>
    <w:bookmarkStart w:id="44" w:name="ref-pageUpdatingGuidanceReporting2021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43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44"/>
    <w:bookmarkStart w:id="46" w:name="ref-pradyAssessingUtilityStandards200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45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46"/>
    <w:bookmarkStart w:id="48" w:name="ref-pragerBarriersReportingGuideline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7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8"/>
    <w:bookmarkStart w:id="49" w:name="ref-phillipsa.PilotTestingGuideline2015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Phillips A., Lewis L.K., McEvoy M.P., Galipeau J., Glasziou P., Moher D., Tilson J.K., Williams M.T. (2015) Pilot testing of the guideline for reporting of evidence-based practice educational interventions and teaching (greet). Physiotherapy (United Kingdom) 101:eS1203–eS1204</w:t>
      </w:r>
    </w:p>
    <w:bookmarkEnd w:id="49"/>
    <w:bookmarkStart w:id="50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0"/>
    <w:bookmarkStart w:id="52" w:name="ref-sharpUsingSTROBEStatement2019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Sharp MK, Bertizzolo L, Rius R, Wager E, Gómez G, Hren D (2019)</w:t>
      </w:r>
      <w:r>
        <w:t xml:space="preserve"> </w:t>
      </w:r>
      <w:hyperlink r:id="rId51">
        <w:r>
          <w:rPr>
            <w:rStyle w:val="Hyperlink"/>
          </w:rPr>
          <w:t xml:space="preserve">Using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STROBE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statement: Survey findings emphasized the role of journals in enforcing reporting guidelines</w:t>
        </w:r>
      </w:hyperlink>
      <w:r>
        <w:t xml:space="preserve">. Journal of Clinical Epidemiology 116:26–35</w:t>
      </w:r>
    </w:p>
    <w:bookmarkEnd w:id="52"/>
    <w:bookmarkStart w:id="54" w:name="X690a0f161ffd510f508077af519386febce046d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53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54"/>
    <w:bookmarkStart w:id="56" w:name="ref-tamPerceptionPreferredReporting2019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55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56"/>
    <w:bookmarkEnd w:id="57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007/s00330-018-5980-3" TargetMode="External" /><Relationship Type="http://schemas.openxmlformats.org/officeDocument/2006/relationships/hyperlink" Id="rId51" Target="https://doi.org/10.1016/j.jclinepi.2019.07.019" TargetMode="External" /><Relationship Type="http://schemas.openxmlformats.org/officeDocument/2006/relationships/hyperlink" Id="rId43" Target="https://doi.org/10.1016/j.jclinepi.2021.02.003" TargetMode="External" /><Relationship Type="http://schemas.openxmlformats.org/officeDocument/2006/relationships/hyperlink" Id="rId38" Target="https://doi.org/10.1073/pnas.2103238118" TargetMode="External" /><Relationship Type="http://schemas.openxmlformats.org/officeDocument/2006/relationships/hyperlink" Id="rId45" Target="https://doi.org/10.1089/acm.2007.7186" TargetMode="External" /><Relationship Type="http://schemas.openxmlformats.org/officeDocument/2006/relationships/hyperlink" Id="rId21" Target="https://doi.org/10.1136/bmj.i1152" TargetMode="External" /><Relationship Type="http://schemas.openxmlformats.org/officeDocument/2006/relationships/hyperlink" Id="rId47" Target="https://doi.org/10.1136/bmjebm-2020-111604" TargetMode="External" /><Relationship Type="http://schemas.openxmlformats.org/officeDocument/2006/relationships/hyperlink" Id="rId55" Target="https://doi.org/10.1136/bmjopen-2018-026271" TargetMode="External" /><Relationship Type="http://schemas.openxmlformats.org/officeDocument/2006/relationships/hyperlink" Id="rId24" Target="https://doi.org/10.1136/bmjqs-2015-004117" TargetMode="External" /><Relationship Type="http://schemas.openxmlformats.org/officeDocument/2006/relationships/hyperlink" Id="rId53" Target="https://doi.org/10.1186/s12874-021-01402-x" TargetMode="External" /><Relationship Type="http://schemas.openxmlformats.org/officeDocument/2006/relationships/hyperlink" Id="rId30" Target="https://doi.org/10.1371/journal.pone.0121585" TargetMode="External" /><Relationship Type="http://schemas.openxmlformats.org/officeDocument/2006/relationships/hyperlink" Id="rId36" Target="https://doi.org/10.1371/journal.pone.0174530" TargetMode="External" /><Relationship Type="http://schemas.openxmlformats.org/officeDocument/2006/relationships/hyperlink" Id="rId41" Target="https://doi.org/10.5152/TurkPediatriArs.2018.6167" TargetMode="External" /><Relationship Type="http://schemas.openxmlformats.org/officeDocument/2006/relationships/hyperlink" Id="rId32" Target="https://doi.org/10.5472/marumj.6823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2023-12-22T17:59:05Z</dcterms:created>
  <dcterms:modified xsi:type="dcterms:W3CDTF">2023-12-22T17:59:05Z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