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study-list"/>
    <w:p>
      <w:pPr>
        <w:pStyle w:val="TableCaption"/>
      </w:pPr>
      <w:r>
        <w:t xml:space="preserve">Table 1: Studies that collected quantitative data to explore researcher’s experiences of 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Studies that collected quantitative data to explore researcher’s experiences of reporting guidelines"/>
      </w:tblPr>
      <w:tblGrid>
        <w:gridCol w:w="1067"/>
        <w:gridCol w:w="1067"/>
        <w:gridCol w:w="1334"/>
        <w:gridCol w:w="2313"/>
        <w:gridCol w:w="1067"/>
        <w:gridCol w:w="10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studied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geographics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Quantitative or 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Brouwers et al. 2016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AGREE Reporting Checklist: a tool to improve reporting of clinical practice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 Reporting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Burford, Welch, Waters et al., 2013</w:t>
            </w:r>
            <w:r>
              <w:t xml:space="preserve"> 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the PRISMA-Equity 2012 reporting guideline: the perspectives of systematic review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PRISMA-Equity Checklist items embedded into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Davies, Donnelly, Goodman, Ogrinc 2016</w:t>
            </w:r>
            <w:r>
              <w:t xml:space="preserve"> 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Findings from a novel approach to publication guideline revision: user road testing of a draft version of SQUIRE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SQUIRE Guidelines, which are presented as a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but invited participants were from USA, UK Lebanon, Sweden.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Dewey, Levine, Bossuyt et al., 2019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and perceived value of journal reporting guidelines among Radiology authors and 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STROBE, PRISMA, STARD checklists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Canada, China, South Korea, Japan, Germany, France , Italy, UK, Other European countries, Middle East, Latin America and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Eysenbach, 2013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CONSORT-EHEALTH: Implementation of a Checklist for Authors and editors to improve reporting of web-based and mobile randomized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Fang, Xi, Liu et al. 2016</w:t>
            </w:r>
            <w:r>
              <w:t xml:space="preserve"> 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survey on awareness of the ARRIVE Guideline and GSPC in researchers field in animal experiments field in Lanzhou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Fuller, Pearson, Peters, Anderson, 2015</w:t>
            </w:r>
            <w:r>
              <w:t xml:space="preserve"> 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affects authors’ and editors’ use of reporting guidelines? Findings from an online survey and qualitative interviews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 and 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Predominantly North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Giray et al. 2020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of the knowledge and awareness of a sample of young researcher physicians on reporting guidelines and the EQUATOR network: A single center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PRISMA, CARE, GRASS, STARD, STROBE, ARRIVE, SAMPL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Guo, Qi, Yang et al., 2018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 status of quality assessment and standards for reporting randomized controlled trials of traditional Chinese medicine researchers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Statement, STRICTA guidelines and CONSORT extension for Traditional Chinese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Korevaar, Cohen, Reitsma, et al, 2016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standards for reporting diagnostic accuracy: the development of STARD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for quantitative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 et al. 2017</w:t>
            </w:r>
            <w:r>
              <w:t xml:space="preserve"> 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of basic medical researchers on the awareness of animal experimental designs and reporting standards in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Macleod, Collings, Graf et al. 2021</w:t>
            </w:r>
            <w:r>
              <w:t xml:space="preserve"> 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MDAR (Materials Design Analysis Reporting) Framework for transparent reporting in the life sciences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MDAR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China, Japan, Germany, Other EU,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McDonough et al. 2011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Familiarity of non-industry authors with good publication practice and clinical data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UK, Canada, South Africa, Israel,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Öncel et al. 2018</w:t>
            </w:r>
            <w:r>
              <w:t xml:space="preserve"> </w:t>
            </w:r>
            <w: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 and awareness of optimal use of reporting guidelines in paediatricians: A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guidelines, STROBE, PRISMA, CARE, SRQR, STARD, SQUIRE, CHEERS, SPIRIT, ARRIVE, TREND, STREGA, the Conference on Guideline Standardization (COGS), Outbreak Reports and Intervention Studies Of Nosocomial infection (ORION)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Page, McKenzie, Bossuyt et al. 2021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guidance for reporting systematic reviews: development of the PRISMA 2020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Prady &amp; MacPherson 2007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the Utility of the Standards for Reporting Trials of Acupuncture (STRICTA): A survey of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Prager, Gannon, Bowdridge et al. 2021</w:t>
            </w:r>
            <w:r>
              <w:t xml:space="preserve"> </w:t>
            </w:r>
            <w:r>
              <w:t xml:space="preserve">[17]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 to reporting guideline adherence in point-of care ultrasound research: a cross- sectional survey of authors and journal editors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Phillips et al 2015</w:t>
            </w:r>
            <w:r>
              <w:t xml:space="preserve"> </w:t>
            </w:r>
            <w:r>
              <w:t xml:space="preserve">[18]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testing of the Guideline for Reporting of Evidence-Based Practice Educational Interventions and Teaching (GREET)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GREET checklist and E&amp;E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Rader, Mann, Stransfield et al., 2014</w:t>
            </w:r>
            <w:r>
              <w:t xml:space="preserve"> </w:t>
            </w:r>
            <w:r>
              <w:t xml:space="preserve">[19]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Methods for documenting systematic review searches: a discussion of common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Sharp, Glonti, Hren, 2020</w:t>
            </w:r>
            <w:r>
              <w:t xml:space="preserve"> </w:t>
            </w:r>
            <w:r>
              <w:t xml:space="preserve">[20]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STROBE statement: survey ﬁndings emphasized the role of journals in enforcing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full survey was answered by participants in Africa, Asia, Europe, North and South America, Middle East, and Pacific Region. It is unclear who answered the free text question.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Struthers, Harwood, de Beyer et al., 2021</w:t>
            </w:r>
            <w:r>
              <w:t xml:space="preserve"> </w:t>
            </w:r>
            <w:r>
              <w:t xml:space="preserve">[21]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GoodReports: developing a website to help health researchers find and use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Tam, Tang, Woo, Goh 2019</w:t>
            </w:r>
            <w:r>
              <w:t xml:space="preserve"> </w:t>
            </w:r>
            <w:r>
              <w:t xml:space="preserve">[22]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 of the Preferred Reporting Items for Systematic Reviews and Meta Analyses (PRISMA) statement of authors publishing reviews in nursing journals: a cross-sectional online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</w:tbl>
    <w:bookmarkEnd w:id="20"/>
    <w:bookmarkStart w:id="57" w:name="refs"/>
    <w:bookmarkStart w:id="22" w:name="ref-brouwersAGREEReportingChecklist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2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22"/>
    <w:bookmarkStart w:id="23" w:name="ref-burfordTestingPRISMAEquity2012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3"/>
    <w:bookmarkStart w:id="25" w:name="ref-daviesFindingsNovelApproach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4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5"/>
    <w:bookmarkStart w:id="27" w:name="ref-deweyImpactPerceivedValue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6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7"/>
    <w:bookmarkStart w:id="28" w:name="Xbb8e36e9eabfc341c5b76cbb2a5772ca74c1b07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28"/>
    <w:bookmarkStart w:id="29" w:name="ref-fangSurveyAwarenessARRIVE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9"/>
    <w:bookmarkStart w:id="31" w:name="ref-fullerWhatAffectsAuthors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3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31"/>
    <w:bookmarkStart w:id="33" w:name="X1c6277b1cc187596beb1d545546d4c8e7e3e74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32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3"/>
    <w:bookmarkStart w:id="34" w:name="ref-guoRecognitionStatusQuality201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4"/>
    <w:bookmarkStart w:id="35" w:name="Xa745f3c182cec1679b2b4fac2aeff366616649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5"/>
    <w:bookmarkStart w:id="37" w:name="ref-maSurveyBasicMedical201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6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7"/>
    <w:bookmarkStart w:id="39" w:name="ref-macleodMDARMaterialsDesign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38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39"/>
    <w:bookmarkStart w:id="40" w:name="X2d0e4fd4d3285ffbac7f90432355d9d8a5d862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40"/>
    <w:bookmarkStart w:id="42" w:name="Xcf295e23b15ac8a640006326da8af9447196941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41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42"/>
    <w:bookmarkStart w:id="44" w:name="ref-pageUpdatingGuidanceReporting202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43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pragerBarriersReportingGuideline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7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8"/>
    <w:bookmarkStart w:id="49" w:name="ref-phillipsa.PilotTestingGuideline2015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49"/>
    <w:bookmarkStart w:id="50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0"/>
    <w:bookmarkStart w:id="52" w:name="ref-sharpUsingSTROBEStatement2019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51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52"/>
    <w:bookmarkStart w:id="54" w:name="X690a0f161ffd510f508077af519386febce046d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3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4"/>
    <w:bookmarkStart w:id="56" w:name="ref-tamPerceptionPreferredReporting2019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5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2024-01-17T18:31:28Z</dcterms:created>
  <dcterms:modified xsi:type="dcterms:W3CDTF">2024-01-17T18:31:28Z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