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 and how does this compare with the global distribution of researchers?</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Do visitors engage with the website?</w:t>
      </w:r>
    </w:p>
    <w:p>
      <w:pPr>
        <w:numPr>
          <w:ilvl w:val="0"/>
          <w:numId w:val="1001"/>
        </w:numPr>
        <w:pStyle w:val="Compact"/>
      </w:pPr>
      <w:r>
        <w:t xml:space="preserve">What content do visitors view?</w:t>
      </w:r>
    </w:p>
    <w:p>
      <w:pPr>
        <w:numPr>
          <w:ilvl w:val="0"/>
          <w:numId w:val="1001"/>
        </w:numPr>
        <w:pStyle w:val="Compact"/>
      </w:pPr>
      <w:r>
        <w:t xml:space="preserve">What reporting guideline database records do visitors view?</w:t>
      </w:r>
    </w:p>
    <w:p>
      <w:pPr>
        <w:numPr>
          <w:ilvl w:val="0"/>
          <w:numId w:val="1001"/>
        </w:numPr>
        <w:pStyle w:val="Compact"/>
      </w:pPr>
      <w:r>
        <w:t xml:space="preserve">How many visitors continue to access guidance on a third party site?</w:t>
      </w:r>
    </w:p>
    <w:p>
      <w:pPr>
        <w:numPr>
          <w:ilvl w:val="0"/>
          <w:numId w:val="1001"/>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41"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40"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End w:id="40"/>
    <w:bookmarkEnd w:id="41"/>
    <w:bookmarkStart w:id="60" w:name="references"/>
    <w:p>
      <w:pPr>
        <w:pStyle w:val="Heading1"/>
      </w:pPr>
      <w:r>
        <w:t xml:space="preserve">References</w:t>
      </w:r>
    </w:p>
    <w:bookmarkStart w:id="59" w:name="refs"/>
    <w:bookmarkStart w:id="43"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2">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3"/>
    <w:bookmarkStart w:id="45"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4">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5"/>
    <w:bookmarkStart w:id="46"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6"/>
    <w:bookmarkStart w:id="47"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7"/>
    <w:bookmarkStart w:id="49"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8">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9"/>
    <w:bookmarkStart w:id="50"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50"/>
    <w:bookmarkStart w:id="51"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51"/>
    <w:bookmarkStart w:id="52"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2"/>
    <w:bookmarkStart w:id="53"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3"/>
    <w:bookmarkStart w:id="54"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4"/>
    <w:bookmarkStart w:id="55"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5"/>
    <w:bookmarkStart w:id="56"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6"/>
    <w:bookmarkStart w:id="57"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7"/>
    <w:bookmarkStart w:id="58"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8"/>
    <w:bookmarkEnd w:id="59"/>
    <w:bookmarkEnd w:id="6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Commit ID: a51decd</dc:creator>
  <cp:keywords/>
  <dcterms:created xsi:type="dcterms:W3CDTF">2023-10-24T10:02:18Z</dcterms:created>
  <dcterms:modified xsi:type="dcterms:W3CDTF">2023-10-24T10:02:18Z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