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could</w:t>
      </w:r>
      <w:r>
        <w:t xml:space="preserve"> </w:t>
      </w:r>
      <w:r>
        <w:t xml:space="preserve">equator-network.org</w:t>
      </w:r>
      <w:r>
        <w:t xml:space="preserve"> </w:t>
      </w:r>
      <w:r>
        <w:t xml:space="preserve">be</w:t>
      </w:r>
      <w:r>
        <w:t xml:space="preserve"> </w:t>
      </w:r>
      <w:r>
        <w:t xml:space="preserve">improved?</w:t>
      </w:r>
      <w:r>
        <w:t xml:space="preserve"> </w:t>
      </w:r>
      <w:r>
        <w:t xml:space="preserve">Inferences</w:t>
      </w:r>
      <w:r>
        <w:t xml:space="preserve"> </w:t>
      </w:r>
      <w:r>
        <w:t xml:space="preserve">from</w:t>
      </w:r>
      <w:r>
        <w:t xml:space="preserve"> </w:t>
      </w:r>
      <w:r>
        <w:t xml:space="preserve">Google</w:t>
      </w:r>
      <w:r>
        <w:t xml:space="preserve"> </w:t>
      </w:r>
      <w:r>
        <w:t xml:space="preserve">Analytics</w:t>
      </w:r>
      <w:r>
        <w:t xml:space="preserve"> </w:t>
      </w:r>
      <w:r>
        <w:t xml:space="preserve">data.</w:t>
      </w:r>
    </w:p>
    <w:p>
      <w:pPr>
        <w:pStyle w:val="Author"/>
      </w:pPr>
      <w:r>
        <w:t xml:space="preserve">Commit</w:t>
      </w:r>
      <w:r>
        <w:t xml:space="preserve"> </w:t>
      </w:r>
      <w:r>
        <w:t xml:space="preserve">ID:</w:t>
      </w:r>
      <w:r>
        <w:t xml:space="preserve"> </w:t>
      </w:r>
      <w:r>
        <w:t xml:space="preserve">b2b401e</w:t>
      </w:r>
    </w:p>
    <w:p>
      <w:pPr>
        <w:pStyle w:val="Date"/>
      </w:pPr>
      <w:r>
        <w:t xml:space="preserve">2023-07-21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16"/>
            </w:pPr>
            <w:r>
              <w:t xml:space="preserve">This is the same as the article I drafted a year or so ago. Gary had suggestions about how to reframe it but I’ve not edited it at all yet.</w:t>
            </w:r>
          </w:p>
        </w:tc>
      </w:tr>
    </w:tbl>
    <w:bookmarkStart w:id="20" w:name="abstract"/>
    <w:p>
      <w:pPr>
        <w:pStyle w:val="Heading2"/>
      </w:pPr>
      <w:r>
        <w:t xml:space="preserve">Abstract</w:t>
      </w:r>
    </w:p>
    <w:p>
      <w:pPr>
        <w:pStyle w:val="FirstParagraph"/>
      </w:pPr>
      <w:r>
        <w:t xml:space="preserve">The UK EQUATOR Centre maintains a website to help authors find and access reporting guidelines. Web analytics shine a light on how well the website is performing and what could be done to improve it. Here we describe some key insights from web analytics. 1) Many users leave the site very quickly without interacting with it at all. 2) Guideline views are very heavily skewed towards the few guidelines that are featured on EQUATOR’s home page and on journal instructions to authors. 3) Users access checklists more often than the full guidance, perhaps because the full guidance is harder to find. 4) EQUATOR could optimize their site for search engines. 5) EQUATOR could improve acquisition data by updating their links on third party websites and offline documents. 6) Some countries with high publication volumes are under-represented amongst website visitors. 7) EQUATOR could consider translating parts of their website to cater for a global audience.</w:t>
      </w:r>
    </w:p>
    <w:bookmarkEnd w:id="20"/>
    <w:bookmarkStart w:id="21" w:name="main-body"/>
    <w:p>
      <w:pPr>
        <w:pStyle w:val="Heading2"/>
      </w:pPr>
      <w:r>
        <w:t xml:space="preserve">Main Body</w:t>
      </w:r>
    </w:p>
    <w:p>
      <w:pPr>
        <w:pStyle w:val="FirstParagraph"/>
      </w:pPr>
      <w:r>
        <w:t xml:space="preserve">The EQUATOR Network website</w:t>
      </w:r>
      <w:r>
        <w:t xml:space="preserve"> </w:t>
      </w:r>
      <w:r>
        <w:t xml:space="preserve">[1]</w:t>
      </w:r>
      <w:r>
        <w:t xml:space="preserve"> </w:t>
      </w:r>
      <w:r>
        <w:t xml:space="preserve">is an important resource for authors seeking reporting guidelines. Google Analytics</w:t>
      </w:r>
      <w:r>
        <w:t xml:space="preserve"> </w:t>
      </w:r>
      <w:r>
        <w:t xml:space="preserve">[2]</w:t>
      </w:r>
      <w:r>
        <w:t xml:space="preserve"> </w:t>
      </w:r>
      <w:r>
        <w:t xml:space="preserve">is a service that collects anonymised visitor data that allows website owners to track performance and collect visitor insights. It can be used to assess how successfully EQUATOR’s website is meeting one of its core goals: to help authors to find and use reporting guidelines.</w:t>
      </w:r>
    </w:p>
    <w:p>
      <w:pPr>
        <w:pStyle w:val="BodyText"/>
      </w:pPr>
      <w:r>
        <w:t xml:space="preserve">The EQUATOR website and Google Analytics account was developed and maintained by the UK EQUATOR Centre, but these data will be useful to other EQUATOR centres and particularly for guideline developers looking for impact metrics. We have therefore created an interactive, freely accessible dashboard where stakeholders can explore the data</w:t>
      </w:r>
      <w:r>
        <w:t xml:space="preserve"> </w:t>
      </w:r>
      <w:r>
        <w:t xml:space="preserve">[3]</w:t>
      </w:r>
      <w:r>
        <w:t xml:space="preserve">. Below we briefly summarise some observations that we feel have important implications for the EQUATOR Network and reporting guideline developers and suggest ways to improve the EQUATOR Network website.</w:t>
      </w:r>
    </w:p>
    <w:bookmarkEnd w:id="21"/>
    <w:bookmarkStart w:id="22" w:name="keep-visitors-engaged"/>
    <w:p>
      <w:pPr>
        <w:pStyle w:val="Heading2"/>
      </w:pPr>
      <w:r>
        <w:t xml:space="preserve">Keep visitors engaged</w:t>
      </w:r>
    </w:p>
    <w:p>
      <w:pPr>
        <w:pStyle w:val="FirstParagraph"/>
      </w:pPr>
      <w:r>
        <w:t xml:space="preserve">Google Analytics classified almost all users as new, which means they had not visited the site within the previous 2 years (the default expiry limit for Google Analytics cookies). Most users only visited the site once within 2021. Two thirds of sessions lasted less than 10 seconds, and over half of sessions ended without the user interacting with the site at all. EQUATOR’s website holds users’ attention for a very short amount of time and, currently, a large proportion of users are leaving the site without accessing any reporting advice.</w:t>
      </w:r>
    </w:p>
    <w:p>
      <w:pPr>
        <w:pStyle w:val="BodyText"/>
      </w:pPr>
      <w:r>
        <w:t xml:space="preserve">A third of sessions begin with users arriving on the home page, where almost half of visitors then immediately leave without interacting with the website. Google Analytics calls this behaviour bouncing. Many users arrive directly on a guideline database page. Some of these pages have even higher bounce rates, such as 56% for STROBE and 73% for COREQ.</w:t>
      </w:r>
    </w:p>
    <w:p>
      <w:pPr>
        <w:pStyle w:val="BodyText"/>
      </w:pPr>
      <w:r>
        <w:t xml:space="preserve">There are many reasons why a user may abandon a website quickly. In autumn 2021, the UK EQUATOR Centre added a popup survey to ask users why they were leaving the website. Whilst some answered that they</w:t>
      </w:r>
      <w:r>
        <w:t xml:space="preserve"> </w:t>
      </w:r>
      <w:r>
        <w:t xml:space="preserve">“</w:t>
      </w:r>
      <w:r>
        <w:t xml:space="preserve">got what they were looking for,</w:t>
      </w:r>
      <w:r>
        <w:t xml:space="preserve">”</w:t>
      </w:r>
      <w:r>
        <w:t xml:space="preserve"> </w:t>
      </w:r>
      <w:r>
        <w:t xml:space="preserve">others wrote that</w:t>
      </w:r>
      <w:r>
        <w:t xml:space="preserve"> </w:t>
      </w:r>
      <w:r>
        <w:t xml:space="preserve">“</w:t>
      </w:r>
      <w:r>
        <w:t xml:space="preserve">the site is very complex,</w:t>
      </w:r>
      <w:r>
        <w:t xml:space="preserve">”</w:t>
      </w:r>
      <w:r>
        <w:t xml:space="preserve"> </w:t>
      </w:r>
      <w:r>
        <w:t xml:space="preserve">“</w:t>
      </w:r>
      <w:r>
        <w:t xml:space="preserve">too big a mess</w:t>
      </w:r>
      <w:r>
        <w:t xml:space="preserve">”</w:t>
      </w:r>
      <w:r>
        <w:t xml:space="preserve"> </w:t>
      </w:r>
      <w:r>
        <w:t xml:space="preserve">or that they</w:t>
      </w:r>
      <w:r>
        <w:t xml:space="preserve"> </w:t>
      </w:r>
      <w:r>
        <w:t xml:space="preserve">“</w:t>
      </w:r>
      <w:r>
        <w:t xml:space="preserve">could not find what they needed.</w:t>
      </w:r>
      <w:r>
        <w:t xml:space="preserve">”</w:t>
      </w:r>
      <w:r>
        <w:t xml:space="preserve"> </w:t>
      </w:r>
      <w:r>
        <w:t xml:space="preserve">One visitor wrote that they were looking for the formatting instructions for their target journal, suggesting that they did not understand what EQUATOR was or that they were no longer on the journal’s website. EQUATOR should continue to research why users leave these pages so quickly, why they don’t return and how the website could be improved, with special attention paid to the home page and guideline pages.</w:t>
      </w:r>
    </w:p>
    <w:bookmarkEnd w:id="22"/>
    <w:bookmarkStart w:id="23" w:name="X891c31cd1a78b9eaec59606564f3947ab5108bf"/>
    <w:p>
      <w:pPr>
        <w:pStyle w:val="Heading2"/>
      </w:pPr>
      <w:r>
        <w:t xml:space="preserve">Help users discover reporting guidelines besides the few that are featured</w:t>
      </w:r>
    </w:p>
    <w:p>
      <w:pPr>
        <w:pStyle w:val="FirstParagraph"/>
      </w:pPr>
      <w:r>
        <w:t xml:space="preserve">EQUATOR maintains a database of reporting guidelines. Each database entry is viewable as a webpage that displays the name of the guideline, bibliographic data, meta data, and links to the associated publications and files. Users must navigate this page before accessing the guideline or checklist.</w:t>
      </w:r>
    </w:p>
    <w:p>
      <w:pPr>
        <w:pStyle w:val="BodyText"/>
      </w:pPr>
      <w:r>
        <w:t xml:space="preserve">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 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w:t>
      </w:r>
    </w:p>
    <w:p>
      <w:pPr>
        <w:pStyle w:val="BodyText"/>
      </w:pPr>
      <w:r>
        <w:t xml:space="preserve">Viewership is thus heavily skewed towards the few guidelines that are featured on EQUATOR’s home page and journal instruction to author pages. We expect some guidelines to be viewed more than others, but this distribution seems extreme and suggests that authors are not discovering newer or more specific guidelines that might be more applicable to their work.</w:t>
      </w:r>
    </w:p>
    <w:p>
      <w:pPr>
        <w:pStyle w:val="BodyText"/>
      </w:pPr>
      <w:r>
        <w:t xml:space="preserve">Possible solutions to this would be to make the search function more prominent and easier to use, and to better highlight related guidelines at the top guideline databases pages, checklists, and guidance articles, along with clear instructions of when each reporting guideline should or should not be used. Guideline developers should be aware that inclusion in EQUATOR’s database does not guarantee authors will find and use their resources, and so should consider complementary dissemination strategies.</w:t>
      </w:r>
    </w:p>
    <w:bookmarkEnd w:id="23"/>
    <w:bookmarkStart w:id="24" w:name="X7562e0316c83e434c76fd916d37fc382647e2f8"/>
    <w:p>
      <w:pPr>
        <w:pStyle w:val="Heading2"/>
      </w:pPr>
      <w:r>
        <w:t xml:space="preserve">Do users access checklists, articles, or neither?</w:t>
      </w:r>
    </w:p>
    <w:p>
      <w:pPr>
        <w:pStyle w:val="FirstParagraph"/>
      </w:pPr>
      <w:r>
        <w:t xml:space="preserve">Checklists are accessed more frequently than the full guidance when they are available (Table 3). This ratio is 15:1 for STROBE, 6:1 for CONSORT, and 8:1 for STARD. This is probably because EQUATOR links to checklists at the very top of the guideline page and links to the full guidance appear lower in the page and are harder to find. This has implications for guideline developers who should ensure that important information about the guideline such as its aim, scope, or how to use it, should be placed in the checklist, as should a link to the full guidance. Guideline developers should not assume that users will discover the E&amp;E document before the checklist or at all.</w:t>
      </w:r>
    </w:p>
    <w:p>
      <w:pPr>
        <w:pStyle w:val="BodyText"/>
      </w:pPr>
      <w:r>
        <w:t xml:space="preserve">It is worth noting that many users leave the guideline reporting guideline database page without accessing any resources. Even if a visitor clicks an outbound link to the full guidance, these links generally take visitors to a PubMed record where they must press another button to access the full text. There will therefore be additional drop-off before visitors reach the full guidance. EQUATOR should improve their reporting guideline database pages to make the checklists and full guidance easier to discover.</w:t>
      </w:r>
    </w:p>
    <w:bookmarkEnd w:id="24"/>
    <w:bookmarkStart w:id="25" w:name="Xff09d57fda651e9bfeb219c929ad2af16cb65ab"/>
    <w:p>
      <w:pPr>
        <w:pStyle w:val="Heading2"/>
      </w:pPr>
      <w:r>
        <w:t xml:space="preserve">Search engine optimization to catch naïve authors early in their research</w:t>
      </w:r>
    </w:p>
    <w:p>
      <w:pPr>
        <w:pStyle w:val="FirstParagraph"/>
      </w:pPr>
      <w:r>
        <w:t xml:space="preserve">A third of users arrive at the site via a search engine. There are many ways EQUATOR could optimize their site for search engines, including adding metadata, mobile optimization, and taking advantage of Google Search’s featured snippets and description features. Keyword rankings could also help to drive potential users to the site. For instance, Google Search Console is a Google product that allows website owners to view how their site performs in Google searches. It shows that when users search for</w:t>
      </w:r>
      <w:r>
        <w:t xml:space="preserve"> </w:t>
      </w:r>
      <w:r>
        <w:t xml:space="preserve">“</w:t>
      </w:r>
      <w:r>
        <w:t xml:space="preserve">STROBE guidelines,</w:t>
      </w:r>
      <w:r>
        <w:t xml:space="preserve">”</w:t>
      </w:r>
      <w:r>
        <w:t xml:space="preserve"> </w:t>
      </w:r>
      <w:r>
        <w:t xml:space="preserve">EQUATOR’s site appears at the top of search results and has a click through rate of 36%.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through rate of 0%. EQUATOR should ensure the site is optimized for naïve users at an early stage of writing who may not know guideline acronyms.</w:t>
      </w:r>
    </w:p>
    <w:bookmarkEnd w:id="25"/>
    <w:bookmarkStart w:id="26" w:name="X597ffd298ad05f2dc7e1759f5507845505f6c5f"/>
    <w:p>
      <w:pPr>
        <w:pStyle w:val="Heading2"/>
      </w:pPr>
      <w:r>
        <w:t xml:space="preserve">Update links on other websites to understand where users are coming from</w:t>
      </w:r>
    </w:p>
    <w:p>
      <w:pPr>
        <w:pStyle w:val="FirstParagraph"/>
      </w:pPr>
      <w:r>
        <w:t xml:space="preserve">An eighth of traffic was explicitly labelled as referrals from other websites, most commonly Wiley and Elsevier journals and Manuscript Central. However, it is likely that much of the traffic from unknown source is also referrals from other websites. These unknown sources currently account for half of EQUATOR’s traffic. Some of this unknown traffic may come from links within offline files. It is likely that a lot is from journal websites and submission systems that link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w:t>
      </w:r>
      <w:r>
        <w:t xml:space="preserve"> </w:t>
      </w:r>
      <w:r>
        <w:rPr>
          <w:iCs/>
          <w:i/>
        </w:rPr>
        <w:t xml:space="preserve">https</w:t>
      </w:r>
      <w:r>
        <w:t xml:space="preserve"> </w:t>
      </w:r>
      <w:r>
        <w:t xml:space="preserve">address links to a less secure site with an</w:t>
      </w:r>
      <w:r>
        <w:t xml:space="preserve"> </w:t>
      </w:r>
      <w:r>
        <w:rPr>
          <w:iCs/>
          <w:i/>
        </w:rPr>
        <w:t xml:space="preserve">http</w:t>
      </w:r>
      <w:r>
        <w:t xml:space="preserve"> </w:t>
      </w:r>
      <w:r>
        <w:t xml:space="preserve">address, no referral data gets sent. EQUATOR upgraded its website to use</w:t>
      </w:r>
      <w:r>
        <w:t xml:space="preserve"> </w:t>
      </w:r>
      <w:r>
        <w:rPr>
          <w:iCs/>
          <w:i/>
        </w:rPr>
        <w:t xml:space="preserve">https</w:t>
      </w:r>
      <w:r>
        <w:t xml:space="preserve"> </w:t>
      </w:r>
      <w:r>
        <w:t xml:space="preserve">years ago, but other websites have continued to link using</w:t>
      </w:r>
      <w:r>
        <w:t xml:space="preserve"> </w:t>
      </w:r>
      <w:r>
        <w:rPr>
          <w:iCs/>
          <w:i/>
        </w:rPr>
        <w:t xml:space="preserve">http</w:t>
      </w:r>
      <w:r>
        <w:t xml:space="preserve">. A campaign to have journals and submission platforms use</w:t>
      </w:r>
      <w:r>
        <w:t xml:space="preserve"> </w:t>
      </w:r>
      <w:r>
        <w:rPr>
          <w:iCs/>
          <w:i/>
        </w:rPr>
        <w:t xml:space="preserve">https</w:t>
      </w:r>
      <w:r>
        <w:t xml:space="preserve"> </w:t>
      </w:r>
      <w:r>
        <w:t xml:space="preserve">links would result in more correct referral data. This would tell EQUATOR which journals are successfully recommending reporting guidelines and would allow EQUATOR to infer visitors’ intentions. For example, traffic from submission systems may signify users who have been asked to complete a checklist from.</w:t>
      </w:r>
    </w:p>
    <w:bookmarkEnd w:id="26"/>
    <w:bookmarkStart w:id="27" w:name="X8230942e226c242cf47a93cf718b5cebee26873"/>
    <w:p>
      <w:pPr>
        <w:pStyle w:val="Heading2"/>
      </w:pPr>
      <w:r>
        <w:t xml:space="preserve">Target authors from under-represented countries</w:t>
      </w:r>
    </w:p>
    <w:p>
      <w:pPr>
        <w:pStyle w:val="FirstParagraph"/>
      </w:pPr>
      <w:r>
        <w:t xml:space="preserve">Over 800,000 users visited the EQUATOR website in 2021 (Table 4), 150,000 more than the previous year, thus continuing growth seen since attracting 20,000 visitors in 2008. A third of users were from the United States or United Kingdom. Brazil accounted for the same proportion of users as the UK (7%) despite producing far fewer citable, medical documents</w:t>
      </w:r>
      <w:r>
        <w:t xml:space="preserve"> </w:t>
      </w:r>
      <w:r>
        <w:t xml:space="preserve">[4]</w:t>
      </w:r>
      <w:r>
        <w:t xml:space="preserve">. Conversely, China produces twice as many citable documents as the UK but accounts for only 5% of users. These numbers suggest that awareness of EQUATOR is greater in some counties than in others. EQUATOR should continue to run awareness campaigns and should prioritize countries like China which have high publication output but low visitor numbers.</w:t>
      </w:r>
    </w:p>
    <w:bookmarkEnd w:id="27"/>
    <w:bookmarkStart w:id="28" w:name="consider-non-native-english-speakers"/>
    <w:p>
      <w:pPr>
        <w:pStyle w:val="Heading2"/>
      </w:pPr>
      <w:r>
        <w:t xml:space="preserve">Consider non-native English speakers</w:t>
      </w:r>
    </w:p>
    <w:p>
      <w:pPr>
        <w:pStyle w:val="FirstParagraph"/>
      </w:pPr>
      <w:r>
        <w:t xml:space="preserve">Two fifths of users had their browsers set to a language other than English (Table 4), most frequently Portuguese, Chinese, and Spanish. Manually translating popular guidelines or website sections may be appropriate for frequent languages, but manual translations are expensive, difficult to update, and cannot be scaled. Automatic machine translation is more scalable, easy to update, and inaccuracies can be refined with custom glossaries and language models. EQUATOR and guideline developers should also use plain language to help users and automatic translators alike.</w:t>
      </w:r>
    </w:p>
    <w:bookmarkEnd w:id="28"/>
    <w:bookmarkStart w:id="29" w:name="limitations"/>
    <w:p>
      <w:pPr>
        <w:pStyle w:val="Heading2"/>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Although we discuss bounce rates here it is difficult to know what a</w:t>
      </w:r>
      <w:r>
        <w:t xml:space="preserve"> </w:t>
      </w:r>
      <w:r>
        <w:t xml:space="preserve">“</w:t>
      </w:r>
      <w:r>
        <w:t xml:space="preserve">good</w:t>
      </w:r>
      <w:r>
        <w:t xml:space="preserve">”</w:t>
      </w:r>
      <w:r>
        <w:t xml:space="preserve"> </w:t>
      </w:r>
      <w:r>
        <w:t xml:space="preserve">bounce rate would be. E-Commerce websites may hope for a bounce rate of around 40%, but newspapers may consider 70% to be good. What is important is that EQUATOR now has a baseline against which to measure improvement. 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bookmarkEnd w:id="29"/>
    <w:bookmarkStart w:id="34" w:name="todo-definitions"/>
    <w:p>
      <w:pPr>
        <w:pStyle w:val="Heading2"/>
      </w:pPr>
      <w:r>
        <w:rPr>
          <w:highlight w:val="yellow"/>
        </w:rPr>
        <w:t xml:space="preserve">TODO</w:t>
      </w:r>
      <w:r>
        <w:t xml:space="preserve"> </w:t>
      </w:r>
      <w:r>
        <w:t xml:space="preserve">Definitions</w:t>
      </w:r>
    </w:p>
    <w:p>
      <w:pPr>
        <w:pStyle w:val="FirstParagraph"/>
      </w:pPr>
      <w:r>
        <w:t xml:space="preserve">User</w:t>
      </w:r>
    </w:p>
    <w:p>
      <w:pPr>
        <w:pStyle w:val="BodyText"/>
      </w:pPr>
      <w:r>
        <w:t xml:space="preserve">Visitor</w:t>
      </w:r>
    </w:p>
    <w:p>
      <w:pPr>
        <w:pStyle w:val="BodyText"/>
      </w:pPr>
      <w:r>
        <w:t xml:space="preserve">Session</w:t>
      </w:r>
    </w:p>
    <w:p>
      <w:pPr>
        <w:pStyle w:val="BodyText"/>
      </w:pPr>
      <w:r>
        <w:t xml:space="preserve">Bounce</w:t>
      </w:r>
    </w:p>
    <w:p>
      <w:pPr>
        <w:pStyle w:val="BodyText"/>
      </w:pPr>
      <w:r>
        <w:t xml:space="preserve">Bounce Rate</w:t>
      </w:r>
    </w:p>
    <w:p>
      <w:pPr>
        <w:pStyle w:val="BodyText"/>
      </w:pPr>
      <w:r>
        <w:t xml:space="preserve">STROBE</w:t>
      </w:r>
    </w:p>
    <w:p>
      <w:pPr>
        <w:pStyle w:val="BodyText"/>
      </w:pPr>
      <w:r>
        <w:t xml:space="preserve">PRISMA</w:t>
      </w:r>
    </w:p>
    <w:p>
      <w:pPr>
        <w:pStyle w:val="BodyText"/>
      </w:pPr>
      <w:r>
        <w:t xml:space="preserve">CONSORT</w:t>
      </w:r>
    </w:p>
    <w:p>
      <w:pPr>
        <w:pStyle w:val="BodyText"/>
      </w:pPr>
      <w:r>
        <w:t xml:space="preserve">STARD</w:t>
      </w:r>
    </w:p>
    <w:p>
      <w:pPr>
        <w:pStyle w:val="BodyText"/>
      </w:pPr>
      <w:r>
        <w:t xml:space="preserve">SQUIRE</w:t>
      </w:r>
    </w:p>
    <w:p>
      <w:pPr>
        <w:pStyle w:val="BodyText"/>
      </w:pPr>
      <w:r>
        <w:t xml:space="preserve">E&amp;E</w:t>
      </w:r>
    </w:p>
    <w:p>
      <w:pPr>
        <w:pStyle w:val="BodyText"/>
      </w:pPr>
      <w:r>
        <w:t xml:space="preserve">Google Analytics</w:t>
      </w:r>
    </w:p>
    <w:p>
      <w:pPr>
        <w:pStyle w:val="BodyText"/>
      </w:pPr>
      <w:r>
        <w:t xml:space="preserve">Google Search Console</w:t>
      </w:r>
    </w:p>
    <w:bookmarkStart w:id="30" w:name="Xc3ecea2b3aea4f6bdb853b1bb168416406b8c91"/>
    <w:p>
      <w:pPr>
        <w:pStyle w:val="Heading3"/>
      </w:pPr>
      <w:r>
        <w:t xml:space="preserve">Table 1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4902"/>
        <w:tblLook w:firstRow="1" w:lastRow="0" w:firstColumn="0" w:lastColumn="0" w:noHBand="0" w:noVBand="0" w:val="0020"/>
        <w:jc w:val="start"/>
      </w:tblPr>
      <w:tblGrid>
        <w:gridCol w:w="5901"/>
        <w:gridCol w:w="1087"/>
        <w:gridCol w:w="776"/>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30"/>
    <w:bookmarkStart w:id="31" w:name="X0eaf7f82a7255d5523fa006789df5229b590784"/>
    <w:p>
      <w:pPr>
        <w:pStyle w:val="Heading3"/>
      </w:pPr>
      <w:r>
        <w:t xml:space="preserve">Table 2 Pages where visitors began their session and their bounce rates between 1st of January and 1st of July 2022. Bounces are sessions where a visitor leaves without interacting with the website at all.</w:t>
      </w:r>
    </w:p>
    <w:tbl>
      <w:tblPr>
        <w:tblStyle w:val="Table"/>
        <w:tblW w:type="pct" w:w="4873"/>
        <w:tblLook w:firstRow="1" w:lastRow="0" w:firstColumn="0" w:lastColumn="0" w:noHBand="0" w:noVBand="0" w:val="0020"/>
        <w:jc w:val="start"/>
      </w:tblPr>
      <w:tblGrid>
        <w:gridCol w:w="2305"/>
        <w:gridCol w:w="1904"/>
        <w:gridCol w:w="1604"/>
        <w:gridCol w:w="1904"/>
      </w:tblGrid>
      <w:tr>
        <w:trPr>
          <w:tblHeader w:val="true"/>
        </w:trPr>
        <w:tc>
          <w:tcPr/>
          <w:p>
            <w:pPr>
              <w:pStyle w:val="Compact"/>
              <w:jc w:val="left"/>
            </w:pPr>
            <w:r>
              <w:t xml:space="preserve">Page</w:t>
            </w:r>
          </w:p>
        </w:tc>
        <w:tc>
          <w:tcPr/>
          <w:p>
            <w:pPr>
              <w:pStyle w:val="Compact"/>
              <w:jc w:val="left"/>
            </w:pPr>
            <w:r>
              <w:t xml:space="preserve">Sessions</w:t>
            </w:r>
          </w:p>
        </w:tc>
        <w:tc>
          <w:tcPr/>
          <w:p>
            <w:pPr>
              <w:pStyle w:val="Compact"/>
              <w:jc w:val="left"/>
            </w:pPr>
            <w:r>
              <w:t xml:space="preserve">% Sessions</w:t>
            </w:r>
          </w:p>
        </w:tc>
        <w:tc>
          <w:tcPr/>
          <w:p>
            <w:pPr>
              <w:pStyle w:val="Compact"/>
              <w:jc w:val="left"/>
            </w:pPr>
            <w:r>
              <w:t xml:space="preserve">Bounce Rate</w:t>
            </w:r>
          </w:p>
        </w:tc>
      </w:tr>
      <w:tr>
        <w:tc>
          <w:tcPr/>
          <w:p>
            <w:pPr>
              <w:pStyle w:val="Compact"/>
              <w:jc w:val="left"/>
            </w:pPr>
            <w:r>
              <w:t xml:space="preserve">All pages</w:t>
            </w:r>
          </w:p>
        </w:tc>
        <w:tc>
          <w:tcPr/>
          <w:p>
            <w:pPr>
              <w:pStyle w:val="Compact"/>
              <w:jc w:val="left"/>
            </w:pPr>
            <w:r>
              <w:t xml:space="preserve">602,921</w:t>
            </w:r>
          </w:p>
        </w:tc>
        <w:tc>
          <w:tcPr/>
          <w:p>
            <w:pPr>
              <w:pStyle w:val="Compact"/>
              <w:jc w:val="left"/>
            </w:pPr>
            <w:r>
              <w:t xml:space="preserve">100%</w:t>
            </w:r>
          </w:p>
        </w:tc>
        <w:tc>
          <w:tcPr/>
          <w:p>
            <w:pPr>
              <w:pStyle w:val="Compact"/>
              <w:jc w:val="left"/>
            </w:pPr>
            <w:r>
              <w:t xml:space="preserve">53%</w:t>
            </w:r>
          </w:p>
        </w:tc>
      </w:tr>
      <w:tr>
        <w:tc>
          <w:tcPr/>
          <w:p>
            <w:pPr>
              <w:pStyle w:val="Compact"/>
              <w:jc w:val="left"/>
            </w:pPr>
            <w:r>
              <w:t xml:space="preserve">Home page</w:t>
            </w:r>
          </w:p>
        </w:tc>
        <w:tc>
          <w:tcPr/>
          <w:p>
            <w:pPr>
              <w:pStyle w:val="Compact"/>
              <w:jc w:val="left"/>
            </w:pPr>
            <w:r>
              <w:t xml:space="preserve">218,260</w:t>
            </w:r>
          </w:p>
        </w:tc>
        <w:tc>
          <w:tcPr/>
          <w:p>
            <w:pPr>
              <w:pStyle w:val="Compact"/>
              <w:jc w:val="left"/>
            </w:pPr>
            <w:r>
              <w:t xml:space="preserve">36%</w:t>
            </w:r>
          </w:p>
        </w:tc>
        <w:tc>
          <w:tcPr/>
          <w:p>
            <w:pPr>
              <w:pStyle w:val="Compact"/>
              <w:jc w:val="left"/>
            </w:pPr>
            <w:r>
              <w:t xml:space="preserve">45%</w:t>
            </w:r>
          </w:p>
        </w:tc>
      </w:tr>
      <w:tr>
        <w:tc>
          <w:tcPr/>
          <w:p>
            <w:pPr>
              <w:pStyle w:val="Compact"/>
              <w:jc w:val="left"/>
            </w:pPr>
            <w:r>
              <w:t xml:space="preserve">STROBE</w:t>
            </w:r>
          </w:p>
        </w:tc>
        <w:tc>
          <w:tcPr/>
          <w:p>
            <w:pPr>
              <w:pStyle w:val="Compact"/>
              <w:jc w:val="left"/>
            </w:pPr>
            <w:r>
              <w:t xml:space="preserve">68,274</w:t>
            </w:r>
          </w:p>
        </w:tc>
        <w:tc>
          <w:tcPr/>
          <w:p>
            <w:pPr>
              <w:pStyle w:val="Compact"/>
              <w:jc w:val="left"/>
            </w:pPr>
            <w:r>
              <w:t xml:space="preserve">11%</w:t>
            </w:r>
          </w:p>
        </w:tc>
        <w:tc>
          <w:tcPr/>
          <w:p>
            <w:pPr>
              <w:pStyle w:val="Compact"/>
              <w:jc w:val="left"/>
            </w:pPr>
            <w:r>
              <w:t xml:space="preserve">56%</w:t>
            </w:r>
          </w:p>
        </w:tc>
      </w:tr>
      <w:tr>
        <w:tc>
          <w:tcPr/>
          <w:p>
            <w:pPr>
              <w:pStyle w:val="Compact"/>
              <w:jc w:val="left"/>
            </w:pPr>
            <w:r>
              <w:t xml:space="preserve">PRISMA</w:t>
            </w:r>
          </w:p>
        </w:tc>
        <w:tc>
          <w:tcPr/>
          <w:p>
            <w:pPr>
              <w:pStyle w:val="Compact"/>
              <w:jc w:val="left"/>
            </w:pPr>
            <w:r>
              <w:t xml:space="preserve">29,398</w:t>
            </w:r>
          </w:p>
        </w:tc>
        <w:tc>
          <w:tcPr/>
          <w:p>
            <w:pPr>
              <w:pStyle w:val="Compact"/>
              <w:jc w:val="left"/>
            </w:pPr>
            <w:r>
              <w:t xml:space="preserve">5%</w:t>
            </w:r>
          </w:p>
        </w:tc>
        <w:tc>
          <w:tcPr/>
          <w:p>
            <w:pPr>
              <w:pStyle w:val="Compact"/>
              <w:jc w:val="left"/>
            </w:pPr>
            <w:r>
              <w:t xml:space="preserve">60%</w:t>
            </w:r>
          </w:p>
        </w:tc>
      </w:tr>
      <w:tr>
        <w:tc>
          <w:tcPr/>
          <w:p>
            <w:pPr>
              <w:pStyle w:val="Compact"/>
              <w:jc w:val="left"/>
            </w:pPr>
            <w:r>
              <w:t xml:space="preserve">Reporting guidelines</w:t>
            </w:r>
          </w:p>
        </w:tc>
        <w:tc>
          <w:tcPr/>
          <w:p>
            <w:pPr>
              <w:pStyle w:val="Compact"/>
              <w:jc w:val="left"/>
            </w:pPr>
            <w:r>
              <w:t xml:space="preserve">27,122</w:t>
            </w:r>
          </w:p>
        </w:tc>
        <w:tc>
          <w:tcPr/>
          <w:p>
            <w:pPr>
              <w:pStyle w:val="Compact"/>
              <w:jc w:val="left"/>
            </w:pPr>
            <w:r>
              <w:t xml:space="preserve">4%</w:t>
            </w:r>
          </w:p>
        </w:tc>
        <w:tc>
          <w:tcPr/>
          <w:p>
            <w:pPr>
              <w:pStyle w:val="Compact"/>
              <w:jc w:val="left"/>
            </w:pPr>
            <w:r>
              <w:t xml:space="preserve">4</w:t>
            </w:r>
            <w:r>
              <w:rPr>
                <w:bCs/>
                <w:b/>
              </w:rPr>
              <w:t xml:space="preserve">0%</w:t>
            </w:r>
          </w:p>
        </w:tc>
      </w:tr>
      <w:tr>
        <w:tc>
          <w:tcPr/>
          <w:p>
            <w:pPr>
              <w:pStyle w:val="Compact"/>
              <w:jc w:val="left"/>
            </w:pPr>
            <w:r>
              <w:t xml:space="preserve">CONSORT</w:t>
            </w:r>
          </w:p>
        </w:tc>
        <w:tc>
          <w:tcPr/>
          <w:p>
            <w:pPr>
              <w:pStyle w:val="Compact"/>
              <w:jc w:val="left"/>
            </w:pPr>
            <w:r>
              <w:t xml:space="preserve">24,615</w:t>
            </w:r>
          </w:p>
        </w:tc>
        <w:tc>
          <w:tcPr/>
          <w:p>
            <w:pPr>
              <w:pStyle w:val="Compact"/>
              <w:jc w:val="left"/>
            </w:pPr>
            <w:r>
              <w:t xml:space="preserve">4%</w:t>
            </w:r>
          </w:p>
        </w:tc>
        <w:tc>
          <w:tcPr/>
          <w:p>
            <w:pPr>
              <w:pStyle w:val="Compact"/>
              <w:jc w:val="left"/>
            </w:pPr>
            <w:r>
              <w:t xml:space="preserve">55</w:t>
            </w:r>
            <w:r>
              <w:rPr>
                <w:bCs/>
                <w:b/>
              </w:rPr>
              <w:t xml:space="preserve">%</w:t>
            </w:r>
          </w:p>
        </w:tc>
      </w:tr>
      <w:tr>
        <w:tc>
          <w:tcPr/>
          <w:p>
            <w:pPr>
              <w:pStyle w:val="Compact"/>
              <w:jc w:val="left"/>
            </w:pPr>
            <w:r>
              <w:t xml:space="preserve">COREQ</w:t>
            </w:r>
          </w:p>
        </w:tc>
        <w:tc>
          <w:tcPr/>
          <w:p>
            <w:pPr>
              <w:pStyle w:val="Compact"/>
              <w:jc w:val="left"/>
            </w:pPr>
            <w:r>
              <w:t xml:space="preserve">19,962</w:t>
            </w:r>
          </w:p>
        </w:tc>
        <w:tc>
          <w:tcPr/>
          <w:p>
            <w:pPr>
              <w:pStyle w:val="Compact"/>
              <w:jc w:val="left"/>
            </w:pPr>
            <w:r>
              <w:t xml:space="preserve">3%</w:t>
            </w:r>
          </w:p>
        </w:tc>
        <w:tc>
          <w:tcPr/>
          <w:p>
            <w:pPr>
              <w:pStyle w:val="Compact"/>
              <w:jc w:val="left"/>
            </w:pPr>
            <w:r>
              <w:t xml:space="preserve">73</w:t>
            </w:r>
            <w:r>
              <w:rPr>
                <w:bCs/>
                <w:b/>
              </w:rPr>
              <w:t xml:space="preserve">%</w:t>
            </w:r>
          </w:p>
        </w:tc>
      </w:tr>
      <w:tr>
        <w:tc>
          <w:tcPr/>
          <w:p>
            <w:pPr>
              <w:pStyle w:val="Compact"/>
              <w:jc w:val="left"/>
            </w:pPr>
            <w:r>
              <w:t xml:space="preserve">STARD</w:t>
            </w:r>
          </w:p>
        </w:tc>
        <w:tc>
          <w:tcPr/>
          <w:p>
            <w:pPr>
              <w:pStyle w:val="Compact"/>
              <w:jc w:val="left"/>
            </w:pPr>
            <w:r>
              <w:t xml:space="preserve">19,316</w:t>
            </w:r>
          </w:p>
        </w:tc>
        <w:tc>
          <w:tcPr/>
          <w:p>
            <w:pPr>
              <w:pStyle w:val="Compact"/>
              <w:jc w:val="left"/>
            </w:pPr>
            <w:r>
              <w:t xml:space="preserve">3%</w:t>
            </w:r>
          </w:p>
        </w:tc>
        <w:tc>
          <w:tcPr/>
          <w:p>
            <w:pPr>
              <w:pStyle w:val="Compact"/>
              <w:jc w:val="left"/>
            </w:pPr>
            <w:r>
              <w:t xml:space="preserve">57</w:t>
            </w:r>
            <w:r>
              <w:rPr>
                <w:bCs/>
                <w:b/>
              </w:rPr>
              <w:t xml:space="preserve">%</w:t>
            </w:r>
          </w:p>
        </w:tc>
      </w:tr>
      <w:tr>
        <w:tc>
          <w:tcPr/>
          <w:p>
            <w:pPr>
              <w:pStyle w:val="Compact"/>
              <w:jc w:val="left"/>
            </w:pPr>
            <w:r>
              <w:t xml:space="preserve">SRQR</w:t>
            </w:r>
          </w:p>
        </w:tc>
        <w:tc>
          <w:tcPr/>
          <w:p>
            <w:pPr>
              <w:pStyle w:val="Compact"/>
              <w:jc w:val="left"/>
            </w:pPr>
            <w:r>
              <w:t xml:space="preserve">12,039</w:t>
            </w:r>
          </w:p>
        </w:tc>
        <w:tc>
          <w:tcPr/>
          <w:p>
            <w:pPr>
              <w:pStyle w:val="Compact"/>
              <w:jc w:val="left"/>
            </w:pPr>
            <w:r>
              <w:t xml:space="preserve">2%</w:t>
            </w:r>
          </w:p>
        </w:tc>
        <w:tc>
          <w:tcPr/>
          <w:p>
            <w:pPr>
              <w:pStyle w:val="Compact"/>
              <w:jc w:val="left"/>
            </w:pPr>
            <w:r>
              <w:t xml:space="preserve">65</w:t>
            </w:r>
            <w:r>
              <w:rPr>
                <w:bCs/>
                <w:b/>
              </w:rPr>
              <w:t xml:space="preserve">%</w:t>
            </w:r>
          </w:p>
        </w:tc>
      </w:tr>
      <w:tr>
        <w:tc>
          <w:tcPr/>
          <w:p>
            <w:pPr>
              <w:pStyle w:val="Compact"/>
              <w:jc w:val="left"/>
            </w:pPr>
            <w:r>
              <w:t xml:space="preserve">CARE</w:t>
            </w:r>
          </w:p>
        </w:tc>
        <w:tc>
          <w:tcPr/>
          <w:p>
            <w:pPr>
              <w:pStyle w:val="Compact"/>
              <w:jc w:val="left"/>
            </w:pPr>
            <w:r>
              <w:t xml:space="preserve">10,759</w:t>
            </w:r>
          </w:p>
        </w:tc>
        <w:tc>
          <w:tcPr/>
          <w:p>
            <w:pPr>
              <w:pStyle w:val="Compact"/>
              <w:jc w:val="left"/>
            </w:pPr>
            <w:r>
              <w:t xml:space="preserve">2%</w:t>
            </w:r>
          </w:p>
        </w:tc>
        <w:tc>
          <w:tcPr/>
          <w:p>
            <w:pPr>
              <w:pStyle w:val="Compact"/>
              <w:jc w:val="left"/>
            </w:pPr>
            <w:r>
              <w:t xml:space="preserve">56</w:t>
            </w:r>
            <w:r>
              <w:rPr>
                <w:bCs/>
                <w:b/>
              </w:rPr>
              <w:t xml:space="preserve">%</w:t>
            </w:r>
          </w:p>
        </w:tc>
      </w:tr>
      <w:tr>
        <w:tc>
          <w:tcPr/>
          <w:p>
            <w:pPr>
              <w:pStyle w:val="Compact"/>
              <w:jc w:val="left"/>
            </w:pPr>
            <w:r>
              <w:t xml:space="preserve">TRIPOD</w:t>
            </w:r>
          </w:p>
        </w:tc>
        <w:tc>
          <w:tcPr/>
          <w:p>
            <w:pPr>
              <w:pStyle w:val="Compact"/>
              <w:jc w:val="left"/>
            </w:pPr>
            <w:r>
              <w:t xml:space="preserve">10,342</w:t>
            </w:r>
          </w:p>
        </w:tc>
        <w:tc>
          <w:tcPr/>
          <w:p>
            <w:pPr>
              <w:pStyle w:val="Compact"/>
              <w:jc w:val="left"/>
            </w:pPr>
            <w:r>
              <w:t xml:space="preserve">2%</w:t>
            </w:r>
          </w:p>
        </w:tc>
        <w:tc>
          <w:tcPr/>
          <w:p>
            <w:pPr>
              <w:pStyle w:val="Compact"/>
              <w:jc w:val="left"/>
            </w:pPr>
            <w:r>
              <w:t xml:space="preserve">58</w:t>
            </w:r>
            <w:r>
              <w:rPr>
                <w:bCs/>
                <w:b/>
              </w:rPr>
              <w:t xml:space="preserve">%</w:t>
            </w:r>
          </w:p>
        </w:tc>
      </w:tr>
    </w:tbl>
    <w:bookmarkEnd w:id="31"/>
    <w:bookmarkStart w:id="32" w:name="X9fe5fb9bd1a4e7a5aed49eeb3fc7f0c4d1266bf"/>
    <w:p>
      <w:pPr>
        <w:pStyle w:val="Heading3"/>
      </w:pPr>
      <w:r>
        <w:t xml:space="preserve">Table 3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4933"/>
        <w:tblLook w:firstRow="1" w:lastRow="0" w:firstColumn="0" w:lastColumn="0" w:noHBand="0" w:noVBand="0" w:val="0020"/>
        <w:jc w:val="start"/>
      </w:tblPr>
      <w:tblGrid>
        <w:gridCol w:w="1169"/>
        <w:gridCol w:w="2232"/>
        <w:gridCol w:w="531"/>
        <w:gridCol w:w="2073"/>
        <w:gridCol w:w="1807"/>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Start w:id="33" w:name="X57dc27b8622c8da2ae7eee710e8e41e6948aef6"/>
    <w:p>
      <w:pPr>
        <w:pStyle w:val="Heading3"/>
      </w:pPr>
      <w:r>
        <w:t xml:space="preserve">Table 4 Google Analytics data for equator-network.org for the year 2021.</w:t>
      </w:r>
    </w:p>
    <w:tbl>
      <w:tblPr>
        <w:tblStyle w:val="Table"/>
        <w:tblW w:type="pct" w:w="4884"/>
        <w:tblLook w:firstRow="1" w:lastRow="0" w:firstColumn="0" w:lastColumn="0" w:noHBand="0" w:noVBand="0" w:val="0020"/>
        <w:jc w:val="start"/>
      </w:tblPr>
      <w:tblGrid>
        <w:gridCol w:w="5525"/>
        <w:gridCol w:w="1289"/>
        <w:gridCol w:w="920"/>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users</w:t>
            </w:r>
          </w:p>
        </w:tc>
        <w:tc>
          <w:tcPr/>
          <w:p>
            <w:pPr>
              <w:pStyle w:val="Compact"/>
              <w:jc w:val="left"/>
            </w:pPr>
            <w:r>
              <w:t xml:space="preserve">830,134</w:t>
            </w:r>
          </w:p>
        </w:tc>
        <w:tc>
          <w:tcPr/>
          <w:p>
            <w:pPr>
              <w:pStyle w:val="Compact"/>
            </w:pPr>
          </w:p>
        </w:tc>
      </w:tr>
      <w:tr>
        <w:tc>
          <w:tcPr/>
          <w:p>
            <w:pPr>
              <w:pStyle w:val="Compact"/>
              <w:jc w:val="left"/>
            </w:pPr>
            <w:r>
              <w:t xml:space="preserve">Number of users who had not visited before</w:t>
            </w:r>
          </w:p>
        </w:tc>
        <w:tc>
          <w:tcPr/>
          <w:p>
            <w:pPr>
              <w:pStyle w:val="Compact"/>
              <w:jc w:val="left"/>
            </w:pPr>
            <w:r>
              <w:t xml:space="preserve">823,087</w:t>
            </w:r>
          </w:p>
        </w:tc>
        <w:tc>
          <w:tcPr/>
          <w:p>
            <w:pPr>
              <w:pStyle w:val="Compact"/>
              <w:jc w:val="left"/>
            </w:pPr>
            <w:r>
              <w:t xml:space="preserve">99%</w:t>
            </w:r>
          </w:p>
        </w:tc>
      </w:tr>
      <w:tr>
        <w:tc>
          <w:tcPr/>
          <w:p>
            <w:pPr>
              <w:pStyle w:val="Compact"/>
              <w:jc w:val="left"/>
            </w:pPr>
            <w:r>
              <w:t xml:space="preserve">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t xml:space="preserve">Language (top 10)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t xml:space="preserve">Users whose browsers are set to English*</w:t>
            </w:r>
          </w:p>
        </w:tc>
        <w:tc>
          <w:tcPr/>
          <w:p>
            <w:pPr>
              <w:pStyle w:val="Compact"/>
              <w:jc w:val="left"/>
            </w:pPr>
            <w:r>
              <w:t xml:space="preserve">498,286</w:t>
            </w:r>
          </w:p>
        </w:tc>
        <w:tc>
          <w:tcPr/>
          <w:p>
            <w:pPr>
              <w:pStyle w:val="Compact"/>
              <w:jc w:val="left"/>
            </w:pPr>
            <w:r>
              <w:t xml:space="preserve">60%</w:t>
            </w:r>
          </w:p>
        </w:tc>
      </w:tr>
      <w:tr>
        <w:tc>
          <w:tcPr/>
          <w:p>
            <w:pPr>
              <w:pStyle w:val="Compact"/>
              <w:jc w:val="left"/>
            </w:pPr>
            <w:r>
              <w:t xml:space="preserve">Number of sessions that users made within the time window</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p>
      <w:pPr>
        <w:pStyle w:val="BodyText"/>
      </w:pPr>
      <w:r>
        <w:t xml:space="preserve">* Includes 105 English locales like United States, India, Ireland etc.</w:t>
      </w:r>
    </w:p>
    <w:bookmarkEnd w:id="33"/>
    <w:bookmarkEnd w:id="34"/>
    <w:bookmarkStart w:id="40" w:name="references"/>
    <w:p>
      <w:pPr>
        <w:pStyle w:val="Heading1"/>
      </w:pPr>
      <w:r>
        <w:t xml:space="preserve">References</w:t>
      </w:r>
    </w:p>
    <w:p>
      <w:pPr>
        <w:pStyle w:val="FirstParagraph"/>
      </w:pPr>
      <w:r>
        <w:t xml:space="preserve">{"Analytics Tools &amp; Solutions for Your Business – Google Analytics", n.d.}</w:t>
      </w:r>
    </w:p>
    <w:p>
      <w:pPr>
        <w:pStyle w:val="BodyText"/>
      </w:pPr>
      <w:r>
        <w:t xml:space="preserve">{"Scimago Journal &amp; Country Rank", n.d.}</w:t>
      </w:r>
    </w:p>
    <w:p>
      <w:pPr>
        <w:pStyle w:val="BodyText"/>
      </w:pPr>
      <w:r>
        <w:t xml:space="preserve">{"The EQUATOR Network | Enhancing the QUAlity and Transparency Of Health Research", n.d.}</w:t>
      </w:r>
    </w:p>
    <w:p>
      <w:pPr>
        <w:pStyle w:val="BodyText"/>
      </w:pPr>
      <w:r>
        <w:t xml:space="preserve">{"The EQUATOR Network Google Analytics", n.d.}</w:t>
      </w:r>
    </w:p>
    <w:bookmarkStart w:id="39" w:name="refs"/>
    <w:bookmarkStart w:id="35" w:name="ref-EQUATORNetworkEnhancing"/>
    <w:p>
      <w:pPr>
        <w:pStyle w:val="Bibliography"/>
      </w:pPr>
      <w:r>
        <w:t xml:space="preserve">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6" w:name="ref-AnalyticsToolsSolutions"/>
    <w:p>
      <w:pPr>
        <w:pStyle w:val="Bibliography"/>
      </w:pPr>
      <w:r>
        <w:t xml:space="preserve">2.</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36"/>
    <w:bookmarkStart w:id="37" w:name="ref-EQUATORNetworkGoogle"/>
    <w:p>
      <w:pPr>
        <w:pStyle w:val="Bibliography"/>
      </w:pPr>
      <w:r>
        <w:t xml:space="preserve">3.</w:t>
      </w:r>
      <w:r>
        <w:t xml:space="preserve"> </w:t>
      </w:r>
      <w:r>
        <w:t xml:space="preserve">	</w:t>
      </w:r>
      <w:r>
        <w:t xml:space="preserve">The</w:t>
      </w:r>
      <w:r>
        <w:t xml:space="preserve"> </w:t>
      </w:r>
      <w:r>
        <w:t xml:space="preserve">EQUATOR Network Google Analytics</w:t>
      </w:r>
      <w:r>
        <w:t xml:space="preserve">.</w:t>
      </w:r>
      <w:r>
        <w:t xml:space="preserve"> </w:t>
      </w:r>
    </w:p>
    <w:bookmarkEnd w:id="37"/>
    <w:bookmarkStart w:id="38" w:name="ref-ScimagoJournalCountry"/>
    <w:p>
      <w:pPr>
        <w:pStyle w:val="Bibliography"/>
      </w:pPr>
      <w:r>
        <w:t xml:space="preserve">4.</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38"/>
    <w:bookmarkEnd w:id="39"/>
    <w:bookmarkEnd w:id="4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could equator-network.org be improved? Inferences from Google Analytics data.</dc:title>
  <dc:creator>Commit ID: b2b401e</dc:creator>
  <cp:keywords/>
  <dcterms:created xsi:type="dcterms:W3CDTF">2023-07-21T20:57:49Z</dcterms:created>
  <dcterms:modified xsi:type="dcterms:W3CDTF">2023-07-21T20:57:49Z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