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p>
      <w:pPr>
        <w:pStyle w:val="Author"/>
      </w:pPr>
      <w:r>
        <w:t xml:space="preserve">Commit</w:t>
      </w:r>
      <w:r>
        <w:t xml:space="preserve"> </w:t>
      </w:r>
      <w:r>
        <w:t xml:space="preserve">ID:</w:t>
      </w:r>
      <w:r>
        <w:t xml:space="preserve"> </w:t>
      </w:r>
      <w:r>
        <w:t xml:space="preserve">a72ba16</w:t>
      </w:r>
    </w:p>
    <w:p>
      <w:pPr>
        <w:pStyle w:val="Date"/>
      </w:pPr>
      <w:r>
        <w:t xml:space="preserve">2023-10-24</w:t>
      </w:r>
    </w:p>
    <w:p>
      <w:pPr>
        <w:pStyle w:val="FirstParagraph"/>
      </w:pPr>
      <w:r>
        <w:t xml:space="preserve">In chapters 3 I explored possible barriers authors may encounter when using reporting guidelines. Some barriers were inherent to the guidelines to themselves, whereas others originated from other parts of the system through which reporting guidelines are disseminated. In this chapter, I explain how I chose a framework to help me understand and improve this complex system.</w:t>
      </w:r>
    </w:p>
    <w:p>
      <w:pPr>
        <w:pStyle w:val="BodyText"/>
      </w:pPr>
      <w:r>
        <w:t xml:space="preserve">I considered the MRC guidance for developing and evaluating complex interventions</w:t>
      </w:r>
      <w:r>
        <w:t xml:space="preserve">[1]</w:t>
      </w:r>
      <w:r>
        <w:t xml:space="preserve"> </w:t>
      </w:r>
      <w:r>
        <w:t xml:space="preserve">and the Person Based Approach (PBA)</w:t>
      </w:r>
      <w:r>
        <w:t xml:space="preserve">[2]</w:t>
      </w:r>
      <w:r>
        <w:t xml:space="preserve">. Both emphasise the importance of understanding context, evidencing needs, and iterative evaluation and refinement. Both recommend involving stakeholders and the intervention recipients. I have adhered to these principles in my thesis. In chapters 3 - 5 I collected evidence for needs and context. In chapters 7, 8, and 11 I explain how I involved stakeholders and users, and in chapters 11 and 12 I explain how I refined the intervention in response to author feedback and possible next steps for iterative development.</w:t>
      </w:r>
    </w:p>
    <w:p>
      <w:pPr>
        <w:pStyle w:val="BodyText"/>
      </w:pPr>
      <w:r>
        <w:t xml:space="preserve">However, at this stage in my PhD my aim was to find solutions to the barriers I had identified. Neither MRC guidelines nor PBA advise you how to do this directly. Instead, they encourage intervention designers to theorise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behaviour.</w:t>
      </w:r>
    </w:p>
    <w:p>
      <w:pPr>
        <w:pStyle w:val="BodyText"/>
      </w:pPr>
      <w:r>
        <w:t xml:space="preserve">The Behaviour Change Wheel (BCW,</w:t>
      </w:r>
      <w:r>
        <w:t xml:space="preserve"> </w:t>
      </w:r>
      <w:r>
        <w:t xml:space="preserve">[6]</w:t>
      </w:r>
      <w:r>
        <w:t xml:space="preserve">) 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It was made by synthesizing 19 existing frameworks. In doing so, Michie et al. ensured the BCW is comprehensive (it covers all intervention options), conceptually coherent (category members are of same type), and linked to an overarching model of behaviour. This was one of their core objectives, as prevailing frameworks at the time lacked these qualities. For example, they criticise MINDSPACE</w:t>
      </w:r>
      <w:r>
        <w:t xml:space="preserve"> </w:t>
      </w:r>
      <w:r>
        <w:t xml:space="preserve">[7]</w:t>
      </w:r>
      <w:r>
        <w:t xml:space="preserve"> </w:t>
      </w:r>
      <w:r>
        <w:t xml:space="preserve">(popular amongst UK policy makers at the time) for not including all intervention types and for conflating psychological constructs with mechanisms of action and modes or delivery.</w:t>
      </w:r>
    </w:p>
    <w:p>
      <w:pPr>
        <w:pStyle w:val="BodyText"/>
      </w:pPr>
      <w:r>
        <w:t xml:space="preserve">The BCW’s core is the COM-B model of behaviour, which stands for Capability, Opportunity, Motivation and Behaviour and is simpler and more intuitive than the TDF. 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[8]</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[9]</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p>
      <w:pPr>
        <w:pStyle w:val="BodyText"/>
      </w:pPr>
      <w:r>
        <w:t xml:space="preserve">The COM-B model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 w:name="fig-bcw"/>
          <w:p>
            <w:pPr>
              <w:jc w:val="center"/>
            </w:pPr>
            <w:r>
              <w:drawing>
                <wp:inline>
                  <wp:extent cx="3810000" cy="2540000"/>
                  <wp:effectExtent b="0" l="0" r="0" t="0"/>
                  <wp:docPr descr="" title="" id="25" name="Picture"/>
                  <a:graphic>
                    <a:graphicData uri="http://schemas.openxmlformats.org/drawingml/2006/picture">
                      <pic:pic>
                        <pic:nvPicPr>
                          <pic:cNvPr descr="bcw.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Behaviour Change Wheel for designing behaviour change interventions. The innermost ring is the COM-B model for understanding behaviour, the middle ring are intervention functions, and the outer ring are policy categories. Reproduced with permission from</w:t>
            </w:r>
            <w:r>
              <w:t xml:space="preserve"> </w:t>
            </w:r>
            <w:r>
              <w:t xml:space="preserve">[6]</w:t>
            </w:r>
          </w:p>
          <w:bookmarkEnd w:id="27"/>
        </w:tc>
      </w:tr>
    </w:tbl>
    <w:p>
      <w:pPr>
        <w:pStyle w:val="BodyText"/>
      </w:pPr>
      <w:r>
        <w:t xml:space="preserve">Changing behaviour requires altering one or more of these components and the BCW goes beyond the TDF by helping intervention designers select options to achieve this. The wheel’s middle ring contains intervention functions, defined as</w:t>
      </w:r>
      <w:r>
        <w:t xml:space="preserve"> </w:t>
      </w:r>
      <w:r>
        <w:t xml:space="preserve">“</w:t>
      </w:r>
      <w:r>
        <w:t xml:space="preserve">broad categories of means by which an intervention can change behaviour</w:t>
      </w:r>
      <w:r>
        <w:t xml:space="preserve">”</w:t>
      </w:r>
      <w:r>
        <w:t xml:space="preserve"> </w:t>
      </w:r>
      <w:r>
        <w:t xml:space="preserve">[10]</w:t>
      </w:r>
      <w:r>
        <w:t xml:space="preserve">. 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Intervention functions are described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defined as</w:t>
      </w:r>
      <w:r>
        <w:t xml:space="preserve"> </w:t>
      </w:r>
      <w:r>
        <w:t xml:space="preserve">“</w:t>
      </w:r>
      <w:r>
        <w:t xml:space="preserve">types of decisions made by authorities that help to support and enact the interventions</w:t>
      </w:r>
      <w:r>
        <w:t xml:space="preserve">”</w:t>
      </w:r>
      <w:r>
        <w:t xml:space="preserve"> </w:t>
      </w:r>
      <w:r>
        <w:t xml:space="preserve">[10]</w:t>
      </w:r>
      <w:r>
        <w:t xml:space="preserve">. Categories include communication/marketing, guidelines, regulation, and service provision, as described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and that not all will have experience in applying behaviour change theory, Michie et al. published a book to help designers apply the BCW</w:t>
      </w:r>
      <w:r>
        <w:t xml:space="preserve"> </w:t>
      </w:r>
      <w:r>
        <w:t xml:space="preserve">[10]</w:t>
      </w:r>
      <w:r>
        <w:t xml:space="preserve">. This book contains suggested steps, exercises, and worksheets. In the next chapter, I describe how I guided members of the UK EQUATOR Centre through this process.</w:t>
      </w:r>
    </w:p>
    <w:bookmarkStart w:id="48" w:name="reflections-on-this-chapter"/>
    <w:p>
      <w:pPr>
        <w:pStyle w:val="Heading2"/>
      </w:pPr>
      <w:r>
        <w:t xml:space="preserve">Reflections on this chapter</w:t>
      </w:r>
    </w:p>
    <w:p>
      <w:pPr>
        <w:pStyle w:val="FirstParagraph"/>
      </w:pPr>
      <w:r>
        <w:t xml:space="preserve">At this point in my thesis I had my transfer of status. It was a pivotal moment where I began to view reporting guidelines differently, Charlotte Albury joined my supervision team, and the direction of my thesis took a qualitative turn.</w:t>
      </w:r>
    </w:p>
    <w:p>
      <w:pPr>
        <w:pStyle w:val="BodyText"/>
      </w:pPr>
      <w:r>
        <w:t xml:space="preserve">In my introductory chapter I presented why I view reporting guidelines to be part of a complex behaviour change intervention, but I have not always viewed them this way. When I first discovered reporting guidelines in 2014, I would have described them simply as recommendations for authors to adhere to when writing-up research. I would have talked about checklists, full guidance, and journal policies. But I would not have zoomed into the details of those parts: I would not have scrutinized the contents of resources, nor the intricacies of editorial policy. I also would not have zoomed out to view the broader picture of how guidelines are created and disseminated, or the connections between these parts.</w:t>
      </w:r>
    </w:p>
    <w:p>
      <w:pPr>
        <w:pStyle w:val="BodyText"/>
      </w:pPr>
      <w:r>
        <w:t xml:space="preserve">But after reading accounts of authors struggling with the guidance content, access, formats, workflows, confidence, and the behaviour of others, I began to see things differently. Instead of revering guidelines as perfect publications set in stone, I began to see them as resources whose content, structure,and layout could be optimized. I began to see details; how a single word could lead to confusion, the nuances between</w:t>
      </w:r>
      <w:r>
        <w:t xml:space="preserve"> </w:t>
      </w:r>
      <w:r>
        <w:rPr>
          <w:iCs/>
          <w:i/>
        </w:rPr>
        <w:t xml:space="preserve">standards</w:t>
      </w:r>
      <w:r>
        <w:t xml:space="preserve"> </w:t>
      </w:r>
      <w:r>
        <w:t xml:space="preserve">and</w:t>
      </w:r>
      <w:r>
        <w:t xml:space="preserve"> </w:t>
      </w:r>
      <w:r>
        <w:rPr>
          <w:iCs/>
          <w:i/>
        </w:rPr>
        <w:t xml:space="preserve">recommendations</w:t>
      </w:r>
      <w:r>
        <w:t xml:space="preserve">, between</w:t>
      </w:r>
      <w:r>
        <w:t xml:space="preserve"> </w:t>
      </w:r>
      <w:r>
        <w:rPr>
          <w:iCs/>
          <w:i/>
        </w:rPr>
        <w:t xml:space="preserve">designing</w:t>
      </w:r>
      <w:r>
        <w:t xml:space="preserve"> </w:t>
      </w:r>
      <w:r>
        <w:t xml:space="preserve">and</w:t>
      </w:r>
      <w:r>
        <w:t xml:space="preserve"> </w:t>
      </w:r>
      <w:r>
        <w:rPr>
          <w:iCs/>
          <w:i/>
        </w:rPr>
        <w:t xml:space="preserve">reporting</w:t>
      </w:r>
      <w:r>
        <w:t xml:space="preserve"> </w:t>
      </w:r>
      <w:r>
        <w:t xml:space="preserve">research. Beyond the guidelines themselves, I began to see the broader system that creates and disseminates them. I began to recognise the complexity arising from the number of different stakeholders involved, differences between guidelines, the skills and prior knowledge an author must have to act on the guidance, and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This simultaneous zoom-in and zoom-out felt confusing, and I struggled to communicate my thoughts to my initial supervision team - Gary, Jen and Michael - who worked for EQUATOR but had little experience in behaviour change interventions or qualitative methods.</w:t>
      </w:r>
    </w:p>
    <w:p>
      <w:pPr>
        <w:pStyle w:val="BodyText"/>
      </w:pPr>
      <w:r>
        <w:t xml:space="preserve">Discovering the MRC guidance for complex interventions was my first turning point. Its description of complexity resonated and helped me understand how an intervention could be a</w:t>
      </w:r>
      <w:r>
        <w:t xml:space="preserve"> </w:t>
      </w:r>
      <w:r>
        <w:rPr>
          <w:iCs/>
          <w:i/>
        </w:rPr>
        <w:t xml:space="preserve">system</w:t>
      </w:r>
      <w:r>
        <w:t xml:space="preserve">, not just a single</w:t>
      </w:r>
      <w:r>
        <w:t xml:space="preserve"> </w:t>
      </w:r>
      <w:r>
        <w:rPr>
          <w:iCs/>
          <w:i/>
        </w:rPr>
        <w:t xml:space="preserve">thing</w:t>
      </w:r>
      <w:r>
        <w:t xml:space="preserve">. From there, I discovered the world of behaviour change and took a few tentative steps. My transfer assessors foresaw my thesis becoming increasingly qualitative and felt I would benefit from a qualitative supervisor. My assessors recommended Charlotte Albury. Charlotte’s expertise opened new avenues of exploration using methods less familiar to EQUATOR and I, and under her guidance my tentative steps into qualitative behaviour change territory became more certain.</w:t>
      </w:r>
    </w:p>
    <w:bookmarkStart w:id="28"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8"/>
    <w:p>
      <w:pPr>
        <w:pStyle w:val="BodyText"/>
      </w:pPr>
      <w:r>
        <w:t xml:space="preserve"> </w:t>
      </w:r>
    </w:p>
    <w:bookmarkStart w:id="29"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9"/>
    <w:p>
      <w:pPr>
        <w:pStyle w:val="BodyText"/>
      </w:pPr>
      <w:r>
        <w:t xml:space="preserve"> </w:t>
      </w:r>
    </w:p>
    <w:bookmarkStart w:id="30"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30"/>
    <w:p>
      <w:r>
        <w:br w:type="page"/>
      </w:r>
    </w:p>
    <w:bookmarkStart w:id="47" w:name="refs"/>
    <w:bookmarkStart w:id="32"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31">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32"/>
    <w:bookmarkStart w:id="34"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3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4"/>
    <w:bookmarkStart w:id="36" w:name="ref-caneValidationTheoreticalDomains2012"/>
    <w:p>
      <w:pPr>
        <w:pStyle w:val="Bibliography"/>
      </w:pPr>
      <w:r>
        <w:t xml:space="preserve">3.</w:t>
      </w:r>
      <w:r>
        <w:t xml:space="preserve"> </w:t>
      </w:r>
      <w:r>
        <w:t xml:space="preserve">	</w:t>
      </w:r>
      <w:r>
        <w:t xml:space="preserve">Cane J, O’Connor D, Michie S (2012)</w:t>
      </w:r>
      <w:r>
        <w:t xml:space="preserve"> </w:t>
      </w:r>
      <w:hyperlink r:id="rId35">
        <w:r>
          <w:rPr>
            <w:rStyle w:val="Hyperlink"/>
          </w:rPr>
          <w:t xml:space="preserve">Validation of the theoretical domains framework for use in behaviour change and implementation research</w:t>
        </w:r>
      </w:hyperlink>
      <w:r>
        <w:t xml:space="preserve">. Implementation Science 7:37</w:t>
      </w:r>
    </w:p>
    <w:bookmarkEnd w:id="36"/>
    <w:bookmarkStart w:id="38"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7">
        <w:r>
          <w:rPr>
            <w:rStyle w:val="Hyperlink"/>
          </w:rPr>
          <w:t xml:space="preserve">Making psychological theory useful for implementing evidence based practice: A consensus approach</w:t>
        </w:r>
      </w:hyperlink>
      <w:r>
        <w:t xml:space="preserve">. BMJ Quality &amp; Safety 14:26–33</w:t>
      </w:r>
    </w:p>
    <w:bookmarkEnd w:id="38"/>
    <w:bookmarkStart w:id="40" w:name="ref-atkinsGuideUsingTheoretical2017"/>
    <w:p>
      <w:pPr>
        <w:pStyle w:val="Bibliography"/>
      </w:pPr>
      <w:r>
        <w:t xml:space="preserve">5.</w:t>
      </w:r>
      <w:r>
        <w:t xml:space="preserve"> </w:t>
      </w:r>
      <w:r>
        <w:t xml:space="preserve">	</w:t>
      </w:r>
      <w:r>
        <w:t xml:space="preserve">Atkins L, Francis J, Islam R, et al (2017)</w:t>
      </w:r>
      <w:r>
        <w:t xml:space="preserve"> </w:t>
      </w:r>
      <w:hyperlink r:id="rId39">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40"/>
    <w:bookmarkStart w:id="42" w:name="ref-michieBehaviourChangeWheel2011"/>
    <w:p>
      <w:pPr>
        <w:pStyle w:val="Bibliography"/>
      </w:pPr>
      <w:r>
        <w:t xml:space="preserve">6.</w:t>
      </w:r>
      <w:r>
        <w:t xml:space="preserve"> </w:t>
      </w:r>
      <w:r>
        <w:t xml:space="preserve">	</w:t>
      </w:r>
      <w:r>
        <w:t xml:space="preserve">Michie S, van Stralen MM, West R (2011)</w:t>
      </w:r>
      <w:r>
        <w:t xml:space="preserve"> </w:t>
      </w:r>
      <w:hyperlink r:id="rId4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42"/>
    <w:bookmarkStart w:id="43" w:name="Xed9bc0c35b77e120aa637bab603933c0e408d68"/>
    <w:p>
      <w:pPr>
        <w:pStyle w:val="Bibliography"/>
      </w:pPr>
      <w:r>
        <w:t xml:space="preserve">7.</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3"/>
    <w:bookmarkStart w:id="44" w:name="ref-mookMotivationOrganizationAction"/>
    <w:p>
      <w:pPr>
        <w:pStyle w:val="Bibliography"/>
      </w:pPr>
      <w:r>
        <w:t xml:space="preserve">8.</w:t>
      </w:r>
      <w:r>
        <w:t xml:space="preserve"> </w:t>
      </w:r>
      <w:r>
        <w:t xml:space="preserve">	</w:t>
      </w:r>
      <w:r>
        <w:t xml:space="preserve">Mook DG Motivation : The organization of action. (No Title)</w:t>
      </w:r>
      <w:r>
        <w:t xml:space="preserve"> </w:t>
      </w:r>
    </w:p>
    <w:bookmarkEnd w:id="44"/>
    <w:bookmarkStart w:id="45" w:name="X02639e49b17d8f97e42620a898fc8f6f5677de2"/>
    <w:p>
      <w:pPr>
        <w:pStyle w:val="Bibliography"/>
      </w:pPr>
      <w:r>
        <w:t xml:space="preserve">9.</w:t>
      </w:r>
      <w:r>
        <w:t xml:space="preserve"> </w:t>
      </w:r>
      <w:r>
        <w:t xml:space="preserve">	</w:t>
      </w:r>
      <w:r>
        <w:t xml:space="preserve">Fishbein M, Triandis HC, Kanfer FH, Becker M, Middlestadt SE, Eichler A, et al (2001) Factors influencing behavior and behavior change. Handbook of health psychology 3:3–17</w:t>
      </w:r>
    </w:p>
    <w:bookmarkEnd w:id="45"/>
    <w:bookmarkStart w:id="46"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6"/>
    <w:bookmarkEnd w:id="47"/>
    <w:bookmarkEnd w:id="4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Commit ID: a72ba16</dc:creator>
  <cp:keywords/>
  <dcterms:created xsi:type="dcterms:W3CDTF">2023-10-24T09:56:52Z</dcterms:created>
  <dcterms:modified xsi:type="dcterms:W3CDTF">2023-10-24T09:56:52Z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