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p>
      <w:pPr>
        <w:pStyle w:val="Author"/>
      </w:pPr>
      <w:r>
        <w:t xml:space="preserve">Commit</w:t>
      </w:r>
      <w:r>
        <w:t xml:space="preserve"> </w:t>
      </w:r>
      <w:r>
        <w:t xml:space="preserve">ID:</w:t>
      </w:r>
      <w:r>
        <w:t xml:space="preserve"> </w:t>
      </w:r>
      <w:r>
        <w:t xml:space="preserve">cbec9d2</w:t>
      </w:r>
    </w:p>
    <w:p>
      <w:pPr>
        <w:pStyle w:val="Date"/>
      </w:pPr>
      <w:r>
        <w:t xml:space="preserve">2023-08-04</w:t>
      </w:r>
    </w:p>
    <w:p>
      <w:pPr>
        <w:pStyle w:val="FirstParagraph"/>
      </w:pPr>
      <w:r>
        <w:t xml:space="preserve">In my introductory chapter I presented how I view reporting guidelines to be part of a complex behaviour change intervention. But that isn’t how I have always viewed them. When I began my PhD, I didn’t think about how guidance was communicated, whether through publications, example &amp; elaboration documents, or checklists, and the differences between those resources. I didn’t think about the websites authors used to find those resources. I didn’t think about</w:t>
      </w:r>
      <w:r>
        <w:t xml:space="preserve"> </w:t>
      </w:r>
      <w:r>
        <w:rPr>
          <w:iCs/>
          <w:i/>
        </w:rPr>
        <w:t xml:space="preserve">how</w:t>
      </w:r>
      <w:r>
        <w:t xml:space="preserve"> </w:t>
      </w:r>
      <w:r>
        <w:t xml:space="preserve">or</w:t>
      </w:r>
      <w:r>
        <w:t xml:space="preserve"> </w:t>
      </w:r>
      <w:r>
        <w:rPr>
          <w:iCs/>
          <w:i/>
        </w:rPr>
        <w:t xml:space="preserve">when</w:t>
      </w:r>
      <w:r>
        <w:t xml:space="preserve"> </w:t>
      </w:r>
      <w:r>
        <w:t xml:space="preserve">authors used guidance. I merely thought of reporting guidelines as similar sets of recommendations that authors should adhere to.</w:t>
      </w:r>
    </w:p>
    <w:p>
      <w:pPr>
        <w:pStyle w:val="BodyText"/>
      </w:pPr>
      <w:r>
        <w:t xml:space="preserve">But after reading accounts of authors struggling with the guidance content, access, formats, workflows, confidence, and the behaviour of others, I began to think beyond the guidance text, and more about the system. I began to recognize the complexity that came from the number of different stakeholders involved, differences between guidelines, the skills and prior knowledge an author must have to act on the guidance, and the broad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I began looking for a framework that could help me understand and improve this complex system. I considered the MRC guidance for developing and evaluating complex interventions</w:t>
      </w:r>
      <w:r>
        <w:t xml:space="preserve">[1]</w:t>
      </w:r>
      <w:r>
        <w:t xml:space="preserve"> </w:t>
      </w:r>
      <w:r>
        <w:t xml:space="preserve">but its guiding principles were too broad. I also considered Person Based Approach (PBA)</w:t>
      </w:r>
      <w:r>
        <w:t xml:space="preserve">[2]</w:t>
      </w:r>
      <w:r>
        <w:t xml:space="preserve">. The MRC guidance and person based approach both emphasise the importance of understanding context, evidencing needs, and iterative evaluation and refinement. Both recommend involving stakeholders and the intervention recipients. I have adhered to these principles in my thesis: in chapters 3 I collect evidence for needs and context, in chapters 8, 9, and 11 I explain how I involved stakeholders and users, and in chapters 11 and 12 I explain how I refined the intervention in response to author feedback and possible next steps for iterative development.</w:t>
      </w:r>
    </w:p>
    <w:p>
      <w:pPr>
        <w:pStyle w:val="BodyText"/>
      </w:pPr>
      <w:r>
        <w:t xml:space="preserve">However, both the MRC and PBA guidance require intervention designers to theorize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that behaviour.</w:t>
      </w:r>
    </w:p>
    <w:p>
      <w:pPr>
        <w:pStyle w:val="BodyText"/>
      </w:pPr>
      <w:r>
        <w:t xml:space="preserve">The Behaviour Change Wheel</w:t>
      </w:r>
      <w:r>
        <w:t xml:space="preserve"> </w:t>
      </w:r>
      <w:r>
        <w:t xml:space="preserve">[6]</w:t>
      </w:r>
      <w:r>
        <w:t xml:space="preserve"> </w:t>
      </w:r>
      <w:r>
        <w:t xml:space="preserve">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At its core is the COM-B model of behaviour; a simpler and more intuitive model which can be mapped to the TDF. The BCW then goes beyond the TDF by helping intervention designers select options for changing behaviour.</w:t>
      </w:r>
    </w:p>
    <w:p>
      <w:pPr>
        <w:pStyle w:val="BodyText"/>
      </w:pPr>
      <w:r>
        <w:t xml:space="preserve">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[7]</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[8]</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The outer rings of the BCW (the intervention functions and policy categories) were made by synthesizing 19 existing frameworks to identify. In doing so, they systematically created a framework which is comprehensive (in that it covers all intervention options), conceptually coherent (categories are all of the same type), and linked to an overarching model of behaviour. This was one of their core objectives, as they had identified that previous frameworks often lacked a model of behaviour, were not comprehensive, and lacked coherence. For example, they criticise MINDSPACE</w:t>
      </w:r>
      <w:r>
        <w:t xml:space="preserve"> </w:t>
      </w:r>
      <w:r>
        <w:t xml:space="preserve">[9]</w:t>
      </w:r>
      <w:r>
        <w:t xml:space="preserve"> </w:t>
      </w:r>
      <w:r>
        <w:t xml:space="preserve">(which was popular amongst UK policy makers at the time) for not including all intervention types and for conflating psychological constructs with mechanisms of action and modes or delivery.</w:t>
      </w:r>
    </w:p>
    <w:p>
      <w:pPr>
        <w:pStyle w:val="BodyText"/>
      </w:pPr>
      <w:r>
        <w:t xml:space="preserve">The COM-B model at the center of the BCW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 Changing behaviour requires altering one or more of these components.</w:t>
      </w:r>
    </w:p>
    <w:p>
      <w:pPr>
        <w:pStyle w:val="BodyText"/>
      </w:pPr>
      <w:r>
        <w:t xml:space="preserve">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The different types of intervention function are defined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including communication/marketing, guidelines, regulation, and service provision. Policy categories are defined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Michie et al. published a book to help designers apply the BCW. This book contains suggested steps, exercises, and worksheets. In the next chapter, I describe how I guided members of the UK EQUATOR Centre through this process.</w:t>
      </w:r>
    </w:p>
    <w:bookmarkStart w:id="24"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4"/>
    <w:p>
      <w:pPr>
        <w:pStyle w:val="BodyText"/>
      </w:pPr>
      <w:r>
        <w:t xml:space="preserve"> </w:t>
      </w:r>
    </w:p>
    <w:bookmarkStart w:id="25"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5"/>
    <w:p>
      <w:pPr>
        <w:pStyle w:val="BodyText"/>
      </w:pPr>
      <w:r>
        <w:t xml:space="preserve"> </w:t>
      </w:r>
    </w:p>
    <w:bookmarkStart w:id="26"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26"/>
    <w:p>
      <w:r>
        <w:br w:type="page"/>
      </w:r>
    </w:p>
    <w:bookmarkStart w:id="43" w:name="refs"/>
    <w:bookmarkStart w:id="28"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27">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28"/>
    <w:bookmarkStart w:id="30"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29">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0"/>
    <w:bookmarkStart w:id="32" w:name="ref-caneValidationTheoreticalDomains2012"/>
    <w:p>
      <w:pPr>
        <w:pStyle w:val="Bibliography"/>
      </w:pPr>
      <w:r>
        <w:t xml:space="preserve">3.</w:t>
      </w:r>
      <w:r>
        <w:t xml:space="preserve"> </w:t>
      </w:r>
      <w:r>
        <w:t xml:space="preserve">	</w:t>
      </w:r>
      <w:r>
        <w:t xml:space="preserve">Cane J, O’Connor D, Michie S (2012)</w:t>
      </w:r>
      <w:r>
        <w:t xml:space="preserve"> </w:t>
      </w:r>
      <w:hyperlink r:id="rId31">
        <w:r>
          <w:rPr>
            <w:rStyle w:val="Hyperlink"/>
          </w:rPr>
          <w:t xml:space="preserve">Validation of the theoretical domains framework for use in behaviour change and implementation research</w:t>
        </w:r>
      </w:hyperlink>
      <w:r>
        <w:t xml:space="preserve">. Implementation Science 7:37</w:t>
      </w:r>
    </w:p>
    <w:bookmarkEnd w:id="32"/>
    <w:bookmarkStart w:id="34"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3">
        <w:r>
          <w:rPr>
            <w:rStyle w:val="Hyperlink"/>
          </w:rPr>
          <w:t xml:space="preserve">Making psychological theory useful for implementing evidence based practice: A consensus approach</w:t>
        </w:r>
      </w:hyperlink>
      <w:r>
        <w:t xml:space="preserve">. BMJ Quality &amp; Safety 14:26–33</w:t>
      </w:r>
    </w:p>
    <w:bookmarkEnd w:id="34"/>
    <w:bookmarkStart w:id="36" w:name="ref-atkinsGuideUsingTheoretical2017"/>
    <w:p>
      <w:pPr>
        <w:pStyle w:val="Bibliography"/>
      </w:pPr>
      <w:r>
        <w:t xml:space="preserve">5.</w:t>
      </w:r>
      <w:r>
        <w:t xml:space="preserve"> </w:t>
      </w:r>
      <w:r>
        <w:t xml:space="preserve">	</w:t>
      </w:r>
      <w:r>
        <w:t xml:space="preserve">Atkins L, Francis J, Islam R, et al (2017)</w:t>
      </w:r>
      <w:r>
        <w:t xml:space="preserve"> </w:t>
      </w:r>
      <w:hyperlink r:id="rId35">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36"/>
    <w:bookmarkStart w:id="38" w:name="ref-michieBehaviourChangeWheel2011"/>
    <w:p>
      <w:pPr>
        <w:pStyle w:val="Bibliography"/>
      </w:pPr>
      <w:r>
        <w:t xml:space="preserve">6.</w:t>
      </w:r>
      <w:r>
        <w:t xml:space="preserve"> </w:t>
      </w:r>
      <w:r>
        <w:t xml:space="preserve">	</w:t>
      </w:r>
      <w:r>
        <w:t xml:space="preserve">Michie S, van Stralen MM, West R (2011)</w:t>
      </w:r>
      <w:r>
        <w:t xml:space="preserve"> </w:t>
      </w:r>
      <w:hyperlink r:id="rId37">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38"/>
    <w:bookmarkStart w:id="39" w:name="ref-mookMotivationOrganizationAction"/>
    <w:p>
      <w:pPr>
        <w:pStyle w:val="Bibliography"/>
      </w:pPr>
      <w:r>
        <w:t xml:space="preserve">7.</w:t>
      </w:r>
      <w:r>
        <w:t xml:space="preserve"> </w:t>
      </w:r>
      <w:r>
        <w:t xml:space="preserve">	</w:t>
      </w:r>
      <w:r>
        <w:t xml:space="preserve">Mook DG Motivation : The organization of action. (No Title)</w:t>
      </w:r>
      <w:r>
        <w:t xml:space="preserve"> </w:t>
      </w:r>
    </w:p>
    <w:bookmarkEnd w:id="39"/>
    <w:bookmarkStart w:id="40" w:name="X02639e49b17d8f97e42620a898fc8f6f5677de2"/>
    <w:p>
      <w:pPr>
        <w:pStyle w:val="Bibliography"/>
      </w:pPr>
      <w:r>
        <w:t xml:space="preserve">8.</w:t>
      </w:r>
      <w:r>
        <w:t xml:space="preserve"> </w:t>
      </w:r>
      <w:r>
        <w:t xml:space="preserve">	</w:t>
      </w:r>
      <w:r>
        <w:t xml:space="preserve">Fishbein M, Triandis HC, Kanfer FH, Becker M, Middlestadt SE, Eichler A, et al (2001) Factors influencing behavior and behavior change. Handbook of health psychology 3:3–17</w:t>
      </w:r>
    </w:p>
    <w:bookmarkEnd w:id="40"/>
    <w:bookmarkStart w:id="41" w:name="Xed9bc0c35b77e120aa637bab603933c0e408d68"/>
    <w:p>
      <w:pPr>
        <w:pStyle w:val="Bibliography"/>
      </w:pPr>
      <w:r>
        <w:t xml:space="preserve">9.</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1"/>
    <w:bookmarkStart w:id="42"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2"/>
    <w:bookmarkEnd w:id="4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doi.org/10.1136/bmj.n2061" TargetMode="External" /><Relationship Type="http://schemas.openxmlformats.org/officeDocument/2006/relationships/hyperlink" Id="rId33" Target="https://doi.org/10.1136/qshc.2004.011155" TargetMode="External" /><Relationship Type="http://schemas.openxmlformats.org/officeDocument/2006/relationships/hyperlink" Id="rId37" Target="https://doi.org/10.1186/1748-5908-6-42" TargetMode="External" /><Relationship Type="http://schemas.openxmlformats.org/officeDocument/2006/relationships/hyperlink" Id="rId31" Target="https://doi.org/10.1186/1748-5908-7-37" TargetMode="External" /><Relationship Type="http://schemas.openxmlformats.org/officeDocument/2006/relationships/hyperlink" Id="rId35" Target="https://doi.org/10.1186/s13012-017-0605-9" TargetMode="External" /><Relationship Type="http://schemas.openxmlformats.org/officeDocument/2006/relationships/hyperlink" Id="rId29"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36/bmj.n2061" TargetMode="External" /><Relationship Type="http://schemas.openxmlformats.org/officeDocument/2006/relationships/hyperlink" Id="rId33" Target="https://doi.org/10.1136/qshc.2004.011155" TargetMode="External" /><Relationship Type="http://schemas.openxmlformats.org/officeDocument/2006/relationships/hyperlink" Id="rId37" Target="https://doi.org/10.1186/1748-5908-6-42" TargetMode="External" /><Relationship Type="http://schemas.openxmlformats.org/officeDocument/2006/relationships/hyperlink" Id="rId31" Target="https://doi.org/10.1186/1748-5908-7-37" TargetMode="External" /><Relationship Type="http://schemas.openxmlformats.org/officeDocument/2006/relationships/hyperlink" Id="rId35" Target="https://doi.org/10.1186/s13012-017-0605-9" TargetMode="External" /><Relationship Type="http://schemas.openxmlformats.org/officeDocument/2006/relationships/hyperlink" Id="rId29"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Commit ID: cbec9d2</dc:creator>
  <cp:keywords/>
  <dcterms:created xsi:type="dcterms:W3CDTF">2023-08-04T13:28:30Z</dcterms:created>
  <dcterms:modified xsi:type="dcterms:W3CDTF">2023-08-04T13:28:30Z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