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c24e56f</w:t>
      </w:r>
    </w:p>
    <w:p>
      <w:pPr>
        <w:pStyle w:val="Date"/>
      </w:pPr>
      <w:r>
        <w:t xml:space="preserve">2023-10-11</w:t>
      </w:r>
    </w:p>
    <w:bookmarkStart w:id="24" w:name="introduction"/>
    <w:p>
      <w:pPr>
        <w:pStyle w:val="Heading2"/>
      </w:pPr>
      <w:r>
        <w:t xml:space="preserve">Introduction</w:t>
      </w:r>
    </w:p>
    <w:p>
      <w:pPr>
        <w:pStyle w:val="FirstParagraph"/>
      </w:pPr>
      <w:r>
        <w:t xml:space="preserve">Having identified factors that may limit the impact of reporting guidelines (chapters 3 - </w:t>
      </w:r>
      <w:r>
        <w:rPr>
          <w:bCs/>
          <w:b/>
        </w:rPr>
        <w:t xml:space="preserve">?var:chapters.journal-audit</w:t>
      </w:r>
      <w:r>
        <w:t xml:space="preserve">)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c24e56f</dc:creator>
  <cp:keywords/>
  <dcterms:created xsi:type="dcterms:W3CDTF">2023-10-11T11:57:26Z</dcterms:created>
  <dcterms:modified xsi:type="dcterms:W3CDTF">2023-10-11T11:57:26Z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2023-10-11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