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2"/>
      </w:pPr>
      <w:r>
        <w:t xml:space="preserve">Introduction</w:t>
      </w:r>
    </w:p>
    <w:p>
      <w:pPr>
        <w:pStyle w:val="FirstParagraph"/>
      </w:pPr>
      <w:r>
        <w:t xml:space="preserve">In chapter 7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2"/>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3"/>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edit this document, thereby co-producing lists of influences and ideas. The file can be seen in Appendix #TODO.</w:t>
      </w:r>
    </w:p>
    <w:bookmarkEnd w:id="21"/>
    <w:bookmarkStart w:id="22" w:name="focus-groups-with-external-stakeholders"/>
    <w:p>
      <w:pPr>
        <w:pStyle w:val="Heading3"/>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3"/>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3"/>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3"/>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3"/>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3"/>
      </w:pPr>
      <w:r>
        <w:t xml:space="preserve">Reflexivity &amp; Trust</w:t>
      </w:r>
    </w:p>
    <w:p>
      <w:pPr>
        <w:pStyle w:val="FirstParagraph"/>
      </w:pPr>
      <w:r>
        <w:t xml:space="preserve">In chapter 7 I described my active role within my workshops with EQUATOR and I argued that my subjectivity was an asset within the workshops.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I wanted to ensure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I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7),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3"/>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2"/>
      </w:pPr>
      <w:r>
        <w:t xml:space="preserve">Results</w:t>
      </w:r>
    </w:p>
    <w:bookmarkStart w:id="38" w:name="units-of-study"/>
    <w:p>
      <w:pPr>
        <w:pStyle w:val="Heading3"/>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3"/>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4"/>
      </w:pPr>
      <w:r>
        <w:t xml:space="preserve">Before developing guidance</w:t>
      </w:r>
    </w:p>
    <w:bookmarkStart w:id="39" w:name="X1ce5ab018a343a9584e4d72f948a3df81cceacc"/>
    <w:p>
      <w:pPr>
        <w:pStyle w:val="Heading5"/>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5"/>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5"/>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5"/>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5"/>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5"/>
      </w:pPr>
      <w:r>
        <w:rPr>
          <w:bCs/>
          <w:b/>
        </w:rPr>
        <w:t xml:space="preserve">?var:IFs.rg-introductions</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5"/>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4"/>
      </w:pPr>
      <w:r>
        <w:t xml:space="preserve">When developing guidance</w:t>
      </w:r>
    </w:p>
    <w:bookmarkStart w:id="49" w:name="var-ifs.ready-to-use"/>
    <w:p>
      <w:pPr>
        <w:pStyle w:val="Heading5"/>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5"/>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5"/>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5"/>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5"/>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5"/>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4"/>
      </w:pPr>
      <w:r>
        <w:t xml:space="preserve">When disseminating resources</w:t>
      </w:r>
    </w:p>
    <w:bookmarkStart w:id="59" w:name="var-ifs.value-statement"/>
    <w:p>
      <w:pPr>
        <w:pStyle w:val="Heading5"/>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5"/>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5"/>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5"/>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4"/>
      </w:pPr>
      <w:r>
        <w:t xml:space="preserve">On an ongoing basis</w:t>
      </w:r>
    </w:p>
    <w:bookmarkStart w:id="64" w:name="var-ifs.budget-and-fund-reporting"/>
    <w:p>
      <w:pPr>
        <w:pStyle w:val="Heading5"/>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5"/>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5"/>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5"/>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5"/>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5"/>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5"/>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5"/>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5"/>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5"/>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5"/>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2"/>
      </w:pPr>
      <w:r>
        <w:t xml:space="preserve">Discussion</w:t>
      </w:r>
    </w:p>
    <w:bookmarkStart w:id="82" w:name="description-of-findings"/>
    <w:p>
      <w:pPr>
        <w:pStyle w:val="Heading3"/>
      </w:pPr>
      <w:r>
        <w:t xml:space="preserve">Description of findings</w:t>
      </w:r>
    </w:p>
    <w:bookmarkEnd w:id="82"/>
    <w:bookmarkStart w:id="83"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3"/>
    <w:bookmarkStart w:id="84"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4"/>
    <w:bookmarkStart w:id="86"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5">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6"/>
    <w:bookmarkStart w:id="102"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7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1" w:name="refs"/>
    <w:bookmarkStart w:id="87"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7"/>
    <w:bookmarkStart w:id="89" w:name="ref-givenFocusGroups2008"/>
    <w:p>
      <w:pPr>
        <w:pStyle w:val="Bibliography"/>
      </w:pPr>
      <w:r>
        <w:t xml:space="preserve">2.</w:t>
      </w:r>
      <w:r>
        <w:t xml:space="preserve"> </w:t>
      </w:r>
      <w:r>
        <w:t xml:space="preserve">	</w:t>
      </w:r>
      <w:r>
        <w:t xml:space="preserve">Given L (2008)</w:t>
      </w:r>
      <w:r>
        <w:t xml:space="preserve"> </w:t>
      </w:r>
      <w:hyperlink r:id="rId88">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9"/>
    <w:bookmarkStart w:id="91"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90">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1"/>
    <w:bookmarkStart w:id="93"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2">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3"/>
    <w:bookmarkStart w:id="95" w:name="Xdf768c4de40a88ed9fedd3bd7c28c1df59023c5"/>
    <w:p>
      <w:pPr>
        <w:pStyle w:val="Bibliography"/>
      </w:pPr>
      <w:r>
        <w:t xml:space="preserve">5.</w:t>
      </w:r>
      <w:r>
        <w:t xml:space="preserve"> </w:t>
      </w:r>
      <w:r>
        <w:t xml:space="preserve">	</w:t>
      </w:r>
      <w:r>
        <w:t xml:space="preserve">Kim H, Sefcik JS, Bradway C (2017)</w:t>
      </w:r>
      <w:r>
        <w:t xml:space="preserve"> </w:t>
      </w:r>
      <w:hyperlink r:id="rId94">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5"/>
    <w:bookmarkStart w:id="96"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6"/>
    <w:bookmarkStart w:id="98"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7">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8"/>
    <w:bookmarkStart w:id="100"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9">
        <w:r>
          <w:rPr>
            <w:rStyle w:val="Hyperlink"/>
          </w:rPr>
          <w:t xml:space="preserve">https://doi.org/10.4135/9781412984287</w:t>
        </w:r>
      </w:hyperlink>
    </w:p>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
  <cp:keywords/>
  <dcterms:created xsi:type="dcterms:W3CDTF">2023-12-22T17:59:29Z</dcterms:created>
  <dcterms:modified xsi:type="dcterms:W3CDTF">2023-12-22T17:59:29Z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