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p>
      <w:pPr>
        <w:pStyle w:val="Author"/>
      </w:pPr>
      <w:r>
        <w:t xml:space="preserve">Commit</w:t>
      </w:r>
      <w:r>
        <w:t xml:space="preserve"> </w:t>
      </w:r>
      <w:r>
        <w:t xml:space="preserve">ID:</w:t>
      </w:r>
      <w:r>
        <w:t xml:space="preserve"> </w:t>
      </w:r>
      <w:r>
        <w:t xml:space="preserve">16a22c3</w:t>
      </w:r>
    </w:p>
    <w:p>
      <w:pPr>
        <w:pStyle w:val="Date"/>
      </w:pPr>
      <w:r>
        <w:t xml:space="preserve">2023-08-01</w:t>
      </w:r>
    </w:p>
    <w:bookmarkStart w:id="24" w:name="introduction"/>
    <w:p>
      <w:pPr>
        <w:pStyle w:val="Heading2"/>
      </w:pPr>
      <w:r>
        <w:t xml:space="preserve">Introduction</w:t>
      </w:r>
    </w:p>
    <w:p>
      <w:pPr>
        <w:pStyle w:val="FirstParagraph"/>
      </w:pPr>
      <w:r>
        <w:t xml:space="preserve">Having identified factors that may limit the impact of reporting guidelines (chapters 3 - 6) and selected the Behaviour Change Wheel as a framework</w:t>
      </w:r>
      <w:r>
        <w:t xml:space="preserve"> </w:t>
      </w:r>
      <w:r>
        <w:t xml:space="preserve">[1]</w:t>
      </w:r>
      <w:r>
        <w:t xml:space="preserve"> </w:t>
      </w:r>
      <w:r>
        <w:t xml:space="preserve">(chapter 7), my next step was to use the framework to turn reporting guidelines into a behaviour change intervention. In my introduction I describe how the reporting guideline system grew organically and I justified why I wanted to redesign this system and the guidelines themselves using evidence and behaviour change theory.</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offered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2 for an introduction to the EQUATOR Network, and see chapters 9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I go through each stage in turn, and describe the methods and results for each.</w:t>
      </w:r>
    </w:p>
    <w:bookmarkEnd w:id="24"/>
    <w:bookmarkStart w:id="26" w:name="methods"/>
    <w:p>
      <w:pPr>
        <w:pStyle w:val="Heading2"/>
      </w:pPr>
      <w:r>
        <w:t xml:space="preserve">Methods</w:t>
      </w:r>
    </w:p>
    <w:p>
      <w:pPr>
        <w:pStyle w:val="FirstParagraph"/>
      </w:pPr>
      <w:r>
        <w:t xml:space="preserve">I invited 7 members of the UK EQUATOR Center to take part in the workshops, of whom 6 took part.</w:t>
      </w:r>
    </w:p>
    <w:p>
      <w:pPr>
        <w:pStyle w:val="BodyText"/>
      </w:pPr>
      <w:r>
        <w:t xml:space="preserve">I took an active part in the workshops. I felt justified drawing on my own experience from my earlier PhD work, as an author, and developer of tools to help authors (see chapter 2).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Although perhaps most relevant to ethnographic studies, I nevertheless drew on aspects of</w:t>
            </w:r>
            <w:r>
              <w:t xml:space="preserve"> </w:t>
            </w:r>
            <w:r>
              <w:t xml:space="preserve">‘</w:t>
            </w:r>
            <w:r>
              <w:t xml:space="preserve">thick description</w:t>
            </w:r>
            <w:r>
              <w:t xml:space="preserve">’</w:t>
            </w:r>
            <w:r>
              <w:t xml:space="preserve"> </w:t>
            </w:r>
            <w:r>
              <w:t xml:space="preserve">that were relevant here. I encouraged participants to describe ideas in detail and to document disagreement and context. Our aim was to document ideas in sufficient detail such that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 I also actively acknowledge, and reflect on, my own role in knowledge creation throughout this chapter.</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We met 7 times between December 2021 and May 2022, and each online meeting lasted around 2 hours. All participants had access to the Behaviour Change Wheel book. We established some ground rules which were that no idea was a bad idea, we should favour evidence over preconceptions, and that we should aspire to challenge our own assumptions and be open minded as far as possible. We didn’t seek consensus. Instead, we kept note of any disagreements that could not be resolved by discussion.</w:t>
      </w:r>
    </w:p>
    <w:p>
      <w:pPr>
        <w:pStyle w:val="BodyText"/>
      </w:pPr>
      <w:r>
        <w:t xml:space="preserve">I followed the eight steps recommended by Michie et al (</w:t>
      </w:r>
      <w:hyperlink w:anchor="fig-bcw-worksheets">
        <w:r>
          <w:rPr>
            <w:rStyle w:val="Hyperlink"/>
          </w:rPr>
          <w:t xml:space="preserve">Figure 1</w:t>
        </w:r>
      </w:hyperlink>
      <w:r>
        <w:t xml:space="preserve">) faithfully, and I would explain the objectives and any background theory at the start of each step.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End w:id="26"/>
    <w:bookmarkStart w:id="34" w:name="results"/>
    <w:p>
      <w:pPr>
        <w:pStyle w:val="Heading2"/>
      </w:pPr>
      <w:r>
        <w:t xml:space="preserve">Results</w:t>
      </w:r>
    </w:p>
    <w:bookmarkStart w:id="27"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7"/>
    <w:bookmarkStart w:id="28"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longlist of candidate target behaviours that could bring about the desired behaviour before then selecting which behaviour(s) to focus on.</w:t>
      </w:r>
    </w:p>
    <w:p>
      <w:pPr>
        <w:pStyle w:val="BodyText"/>
      </w:pPr>
      <w:r>
        <w:t xml:space="preserve">We generated a longlist of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things that we hadn’t questioned previously. For instance, we were forced to define what we actually meant by a</w:t>
      </w:r>
      <w:r>
        <w:t xml:space="preserve"> </w:t>
      </w:r>
      <w:r>
        <w:t xml:space="preserve">“</w:t>
      </w:r>
      <w:r>
        <w:t xml:space="preserve">reporting guideline</w:t>
      </w:r>
      <w:r>
        <w:t xml:space="preserve">”</w:t>
      </w:r>
      <w:r>
        <w:t xml:space="preserve">, noting that</w:t>
      </w:r>
      <w:r>
        <w:t xml:space="preserve"> </w:t>
      </w:r>
      <w:r>
        <w:t xml:space="preserve">“</w:t>
      </w:r>
      <w:r>
        <w:t xml:space="preserve">guidance</w:t>
      </w:r>
      <w:r>
        <w:t xml:space="preserve">”</w:t>
      </w:r>
      <w:r>
        <w:t xml:space="preserve"> </w:t>
      </w:r>
      <w:r>
        <w:t xml:space="preserve">could be distributed across publications, checklists, or supplements. We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Similarly, where we may previously have thought of</w:t>
      </w:r>
      <w:r>
        <w:t xml:space="preserve"> </w:t>
      </w:r>
      <w:r>
        <w:t xml:space="preserve">“</w:t>
      </w:r>
      <w:r>
        <w:t xml:space="preserve">writing</w:t>
      </w:r>
      <w:r>
        <w:t xml:space="preserve">”</w:t>
      </w:r>
      <w:r>
        <w:t xml:space="preserve"> </w:t>
      </w:r>
      <w:r>
        <w:t xml:space="preserve">as a single task, we began to consider how authors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discussed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w:t>
      </w:r>
    </w:p>
    <w:p>
      <w:pPr>
        <w:pStyle w:val="BodyText"/>
      </w:pPr>
      <w:r>
        <w:t xml:space="preserve">The next step was to select a behaviour from our longlist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8"/>
    <w:bookmarkStart w:id="29"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We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9"/>
    <w:bookmarkStart w:id="30"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30"/>
    <w:bookmarkStart w:id="31"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was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7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may become known as pointless administration,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1"/>
    <w:bookmarkStart w:id="32"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w:t>
      </w:r>
      <w:r>
        <w:t xml:space="preserve"> </w:t>
      </w:r>
      <w:r>
        <w:t xml:space="preserve">[5]</w:t>
      </w:r>
      <w:r>
        <w:t xml:space="preserve"> </w:t>
      </w:r>
      <w:r>
        <w:t xml:space="preserve">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w:t>
      </w:r>
    </w:p>
    <w:p>
      <w:pPr>
        <w:pStyle w:val="BodyText"/>
      </w:pPr>
      <w:r>
        <w:t xml:space="preserve">Additionally, although the taxonomy is designed to be applicable to a range of contexts and intervention types, it didn’t always feel like a perfect fit for our needs. Some techniques are explicitly health-focussed (e.g. </w:t>
      </w:r>
      <w:r>
        <w:rPr>
          <w:iCs/>
          <w:i/>
        </w:rPr>
        <w:t xml:space="preserve">Body changes</w:t>
      </w:r>
      <w:r>
        <w:t xml:space="preserve">,</w:t>
      </w:r>
      <w:r>
        <w:t xml:space="preserve"> </w:t>
      </w:r>
      <w:r>
        <w:rPr>
          <w:iCs/>
          <w:i/>
        </w:rPr>
        <w:t xml:space="preserve">Pharmacological support</w:t>
      </w:r>
      <w:r>
        <w:t xml:space="preserve">, and</w:t>
      </w:r>
      <w:r>
        <w:t xml:space="preserve"> </w:t>
      </w:r>
      <w:r>
        <w:rPr>
          <w:iCs/>
          <w:i/>
        </w:rPr>
        <w:t xml:space="preserve">Information about health consequences</w:t>
      </w:r>
      <w:r>
        <w:t xml:space="preserve">) whereas for others the link with health interventions came from the examples provided. For example, the technique</w:t>
      </w:r>
      <w:r>
        <w:t xml:space="preserve"> </w:t>
      </w:r>
      <w:r>
        <w:rPr>
          <w:iCs/>
          <w:i/>
        </w:rPr>
        <w:t xml:space="preserve">practical social support</w:t>
      </w:r>
      <w:r>
        <w:t xml:space="preserve"> </w:t>
      </w:r>
      <w:r>
        <w:t xml:space="preserve">lists the example of</w:t>
      </w:r>
      <w:r>
        <w:t xml:space="preserve"> </w:t>
      </w:r>
      <w:r>
        <w:t xml:space="preserve">“</w:t>
      </w:r>
      <w:r>
        <w:t xml:space="preserve">Ask the partner of the patient to put their tablet on the breakfast tray so that the patient remembers to take it</w:t>
      </w:r>
      <w:r>
        <w:t xml:space="preserve">”</w:t>
      </w:r>
      <w:r>
        <w:t xml:space="preserve">. It’s not immediately obvious how this technique could generalise to our target behaviour. So before choosing techniques, we first had to</w:t>
      </w:r>
      <w:r>
        <w:t xml:space="preserve"> </w:t>
      </w:r>
      <w:r>
        <w:t xml:space="preserve">“</w:t>
      </w:r>
      <w:r>
        <w:t xml:space="preserve">translate</w:t>
      </w:r>
      <w:r>
        <w:t xml:space="preserve">”</w:t>
      </w:r>
      <w:r>
        <w:t xml:space="preserve"> </w:t>
      </w:r>
      <w:r>
        <w:t xml:space="preserve">the taxonomy to work out how it might be applied to reporting guidelines. The taxonomy developers perhaps acknowledge this limitation, suggesting in their discussion that the list can be viewed as a</w:t>
      </w:r>
      <w:r>
        <w:t xml:space="preserve"> </w:t>
      </w:r>
      <w:r>
        <w:t xml:space="preserve">“</w:t>
      </w:r>
      <w:r>
        <w:t xml:space="preserve">core</w:t>
      </w:r>
      <w:r>
        <w:t xml:space="preserve">”</w:t>
      </w:r>
      <w:r>
        <w:t xml:space="preserve"> </w:t>
      </w:r>
      <w:r>
        <w:t xml:space="preserve">taxonomy that can be modified or extended according to context</w:t>
      </w:r>
      <w:r>
        <w:t xml:space="preserve"> </w:t>
      </w:r>
      <w:r>
        <w:t xml:space="preserve">[5]</w:t>
      </w:r>
      <w:r>
        <w:t xml:space="preserve">.</w:t>
      </w:r>
    </w:p>
    <w:p>
      <w:pPr>
        <w:pStyle w:val="BodyText"/>
      </w:pPr>
      <w:r>
        <w:t xml:space="preserve">Hence, given that we didn’t want to choose a</w:t>
      </w:r>
      <w:r>
        <w:t xml:space="preserve"> </w:t>
      </w:r>
      <w:r>
        <w:t xml:space="preserve">“</w:t>
      </w:r>
      <w:r>
        <w:t xml:space="preserve">broad approach</w:t>
      </w:r>
      <w:r>
        <w:t xml:space="preserve">”</w:t>
      </w:r>
      <w:r>
        <w:t xml:space="preserve">, and given that this step required familiarity with the taxonomy and how it can be adapted to our context, doing this step with EQUATOR staff would have been very time consuming, as others have also found (e.g.,</w:t>
      </w:r>
      <w:r>
        <w:t xml:space="preserve"> </w:t>
      </w:r>
      <w:r>
        <w:t xml:space="preserve">[6]</w:t>
      </w:r>
      <w:r>
        <w:t xml:space="preserve">).</w:t>
      </w:r>
    </w:p>
    <w:p>
      <w:pPr>
        <w:pStyle w:val="BodyText"/>
      </w:pPr>
      <w:r>
        <w:t xml:space="preserve">Instead, I did this step on my own. I was well placed to do this because I was familiar with the taxonomy and the Behaviour Change Wheel Guide, I had lead all workshops, and I was most familiar with the barriers we were trying to address. I went through each intervention function that the group had favoured in step 5 (Enablement, Education, Training, Persuasion, Modelling, and Environmental Restructuring) and considered all relevant behaviour change techniques.</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left"/>
            </w:pPr>
            <w:r>
              <w:t xml:space="preserve">Intervention Function</w:t>
            </w:r>
          </w:p>
        </w:tc>
        <w:tc>
          <w:tcPr/>
          <w:p>
            <w:pPr>
              <w:pStyle w:val="Compact"/>
              <w:jc w:val="left"/>
            </w:pPr>
            <w:r>
              <w:t xml:space="preserve">Possible Behaviour Change Techniques</w:t>
            </w:r>
          </w:p>
        </w:tc>
      </w:tr>
      <w:tr>
        <w:tc>
          <w:tcPr/>
          <w:p>
            <w:pPr>
              <w:pStyle w:val="Compact"/>
              <w:jc w:val="left"/>
            </w:pPr>
            <w:r>
              <w:t xml:space="preserve">Enablement</w:t>
            </w:r>
          </w:p>
        </w:tc>
        <w:tc>
          <w:tcPr/>
          <w:p>
            <w:pPr>
              <w:pStyle w:val="Compact"/>
              <w:jc w:val="left"/>
            </w:pPr>
            <w:r>
              <w:t xml:space="preserve">Social support (practical)</w:t>
            </w:r>
            <w:r>
              <w:t xml:space="preserve">Adding objects to the environment</w:t>
            </w:r>
            <w:r>
              <w:t xml:space="preserve">Restructuring the physical environment (which I took to include the digital environment)</w:t>
            </w:r>
            <w:r>
              <w:t xml:space="preserve">Reduce negative emotions</w:t>
            </w:r>
            <w:r>
              <w:t xml:space="preserve">Self-monitoring of outcome(s) of behaviour</w:t>
            </w:r>
            <w:r>
              <w:t xml:space="preserve">Framing/reframing</w:t>
            </w:r>
            <w:r>
              <w:t xml:space="preserve">Identification of self as role model</w:t>
            </w:r>
            <w:r>
              <w:t xml:space="preserve">Salience of consequences</w:t>
            </w:r>
            <w:r>
              <w:t xml:space="preserve">Anticipated regret</w:t>
            </w:r>
            <w:r>
              <w:t xml:space="preserve">Vicarious consequences</w:t>
            </w:r>
          </w:p>
        </w:tc>
      </w:tr>
      <w:tr>
        <w:tc>
          <w:tcPr/>
          <w:p>
            <w:pPr>
              <w:pStyle w:val="Compact"/>
              <w:jc w:val="left"/>
            </w:pPr>
            <w:r>
              <w:t xml:space="preserve">Education</w:t>
            </w:r>
          </w:p>
        </w:tc>
        <w:tc>
          <w:tcPr/>
          <w:p>
            <w:pPr>
              <w:pStyle w:val="Compact"/>
              <w:jc w:val="left"/>
            </w:pPr>
            <w:r>
              <w:t xml:space="preserve">Information about social and environmental consequences</w:t>
            </w:r>
            <w:r>
              <w:t xml:space="preserve">Information about health consequences (which I took to mean</w:t>
            </w:r>
            <w:r>
              <w:t xml:space="preserve"> </w:t>
            </w:r>
            <w:r>
              <w:rPr>
                <w:iCs/>
                <w:i/>
              </w:rPr>
              <w:t xml:space="preserve">other</w:t>
            </w:r>
            <w:r>
              <w:t xml:space="preserve"> </w:t>
            </w:r>
            <w:r>
              <w:t xml:space="preserve">people’s health)</w:t>
            </w:r>
            <w:r>
              <w:t xml:space="preserve">Feedback on behaviour (e.g. feedback on guideline use)</w:t>
            </w:r>
            <w:r>
              <w:t xml:space="preserve">Feedback on outcomes of the behaviour (e.g. feedback regarding quality of reporting from editors, reviewers, or colleagues)</w:t>
            </w:r>
            <w:r>
              <w:t xml:space="preserve">Self monitoring of outcome(s) of behaviour (e.g. checking one’s own work against guidance)</w:t>
            </w:r>
            <w:r>
              <w:t xml:space="preserve">Information about emotional consequences (e.g. telling authors they how they will feel)</w:t>
            </w:r>
            <w:r>
              <w:t xml:space="preserve">Information about others’ approval</w:t>
            </w:r>
          </w:p>
        </w:tc>
      </w:tr>
      <w:tr>
        <w:tc>
          <w:tcPr/>
          <w:p>
            <w:pPr>
              <w:pStyle w:val="Compact"/>
              <w:jc w:val="left"/>
            </w:pPr>
            <w:r>
              <w:t xml:space="preserve">Training</w:t>
            </w:r>
          </w:p>
        </w:tc>
        <w:tc>
          <w:tcPr/>
          <w:p>
            <w:pPr>
              <w:pStyle w:val="Compact"/>
              <w:jc w:val="left"/>
            </w:pPr>
            <w:r>
              <w:t xml:space="preserve">Instruction on how to perform the behaviour</w:t>
            </w:r>
            <w:r>
              <w:t xml:space="preserve">Demonstration of the behaviour</w:t>
            </w:r>
            <w:r>
              <w:t xml:space="preserve">Feedback on the behaviour</w:t>
            </w:r>
            <w:r>
              <w:t xml:space="preserve">Feedback on the outcome(s) of the behaviour</w:t>
            </w:r>
            <w:r>
              <w:t xml:space="preserve">Self-monitoring of outcome(s) of the behaviour</w:t>
            </w:r>
          </w:p>
        </w:tc>
      </w:tr>
      <w:tr>
        <w:tc>
          <w:tcPr/>
          <w:p>
            <w:pPr>
              <w:pStyle w:val="Compact"/>
              <w:jc w:val="left"/>
            </w:pPr>
            <w:r>
              <w:t xml:space="preserve">Persuasion</w:t>
            </w:r>
          </w:p>
        </w:tc>
        <w:tc>
          <w:tcPr/>
          <w:p>
            <w:pPr>
              <w:pStyle w:val="Compact"/>
              <w:jc w:val="left"/>
            </w:pPr>
            <w:r>
              <w:t xml:space="preserve">Credible source</w:t>
            </w:r>
            <w:r>
              <w:t xml:space="preserve">Information about social and environmental consequences</w:t>
            </w:r>
            <w:r>
              <w:t xml:space="preserve">Information about health consequences</w:t>
            </w:r>
            <w:r>
              <w:t xml:space="preserve">Feedback on behaviour</w:t>
            </w:r>
            <w:r>
              <w:t xml:space="preserve">Feedback on outcome(s) of the behaviour</w:t>
            </w:r>
            <w:r>
              <w:t xml:space="preserve">Monitoring outcome(s) of behaviour by others without feedback</w:t>
            </w:r>
            <w:r>
              <w:t xml:space="preserve">Identification as self as role model</w:t>
            </w:r>
            <w:r>
              <w:t xml:space="preserve">Information about emotional consequences</w:t>
            </w:r>
            <w:r>
              <w:t xml:space="preserve">Salience of consequences</w:t>
            </w:r>
            <w:r>
              <w:t xml:space="preserve">Information about others’ approval</w:t>
            </w:r>
            <w:r>
              <w:t xml:space="preserve">Social comparison</w:t>
            </w:r>
            <w:r>
              <w:t xml:space="preserve">Framing/reframing</w:t>
            </w:r>
            <w:r>
              <w:t xml:space="preserve">Remove aversive stimulus</w:t>
            </w:r>
          </w:p>
        </w:tc>
      </w:tr>
      <w:tr>
        <w:tc>
          <w:tcPr/>
          <w:p>
            <w:pPr>
              <w:pStyle w:val="Compact"/>
              <w:jc w:val="left"/>
            </w:pPr>
            <w:r>
              <w:t xml:space="preserve">Modelling</w:t>
            </w:r>
          </w:p>
        </w:tc>
        <w:tc>
          <w:tcPr/>
          <w:p>
            <w:pPr>
              <w:pStyle w:val="Compact"/>
              <w:jc w:val="left"/>
            </w:pPr>
            <w:r>
              <w:t xml:space="preserve">Demonstration of the behaviour</w:t>
            </w:r>
          </w:p>
        </w:tc>
      </w:tr>
      <w:tr>
        <w:tc>
          <w:tcPr/>
          <w:p>
            <w:pPr>
              <w:pStyle w:val="Compact"/>
              <w:jc w:val="left"/>
            </w:pPr>
            <w:r>
              <w:t xml:space="preserve">Environmental Restructuring</w:t>
            </w:r>
          </w:p>
        </w:tc>
        <w:tc>
          <w:tcPr/>
          <w:p>
            <w:pPr>
              <w:pStyle w:val="Compact"/>
              <w:jc w:val="left"/>
            </w:pPr>
            <w:r>
              <w:t xml:space="preserve">Adding objects to the environment</w:t>
            </w:r>
            <w:r>
              <w:t xml:space="preserve">Prompts/cues</w:t>
            </w:r>
            <w:r>
              <w:t xml:space="preserve">Restructuring physical environment</w:t>
            </w:r>
          </w:p>
        </w:tc>
      </w:tr>
    </w:tbl>
    <w:bookmarkEnd w:id="32"/>
    <w:bookmarkStart w:id="33"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refining and extending the existing EQUATOR website felt like the perfect choice for multiple reasons. Firstly, planning the digital environment was ranked most highly as a policy category. Secondly, the website can be used as a means of delivering many of the highly ranked intervention functions (enablement, education, persuasion, modelling). Thirdly, it spoke to my skills as a software developer and is something that the UK EQUATOR staff could not do on their own. And finally, these changes could be made within the time limit of my PhD and, importantly, the impact would be sustained after I finish.</w:t>
      </w:r>
    </w:p>
    <w:bookmarkEnd w:id="33"/>
    <w:bookmarkEnd w:id="34"/>
    <w:bookmarkStart w:id="45"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in these workshops would have helped address this but would have been impractical to coordinate. To mitigate this, I decided to gather input from guideline developers, publishers, and authors through separate pieces of work which I describe in chapters 9 and 11.</w:t>
      </w:r>
    </w:p>
    <w:p>
      <w:pPr>
        <w:pStyle w:val="BodyText"/>
      </w:pPr>
      <w:r>
        <w:t xml:space="preserve">In conclusion, by working through Michie et al’s suggested approach to applying the Behaviour Change Wheel</w:t>
      </w:r>
      <w:r>
        <w:t xml:space="preserve"> </w:t>
      </w:r>
      <w:r>
        <w:t xml:space="preserve">[2]</w:t>
      </w:r>
      <w:r>
        <w:t xml:space="preserve"> </w:t>
      </w:r>
      <w:r>
        <w:t xml:space="preserve">in a series of workshops with members of the EQUATOR Network, we defined our target behaviour as</w:t>
      </w:r>
      <w:r>
        <w:t xml:space="preserve"> </w:t>
      </w:r>
      <w:r>
        <w:rPr>
          <w:iCs/>
          <w:i/>
        </w:rPr>
        <w:t xml:space="preserve">“</w:t>
      </w:r>
      <w:r>
        <w:rPr>
          <w:iCs/>
          <w:i/>
        </w:rPr>
        <w:t xml:space="preserve">Researchers should use reporting guidance as early as possible in their research pipeline. They will do this for every piece of research, at their place of work, on their own but in the context of collaboration</w:t>
      </w:r>
      <w:r>
        <w:rPr>
          <w:iCs/>
          <w:i/>
        </w:rPr>
        <w:t xml:space="preserve">”</w:t>
      </w:r>
      <w:r>
        <w:t xml:space="preserve">. We broke this down into two sub behaviours: 1) engage with reporting guidelines as early as possible (ie access and read them) and, 2) apply the guidance to their writing as intended by the guideline developer. We identified 32 factors that could affect this target behaviour. We favoured Enablement, Education, Training, Persuasion, Modelling, and Environmental Restructuring as intervention functions, and we favoured Environmental Planning, Communication, Service Provision, and Guidelines as policy categories. I identified #TODO behaviour change techniques that could be used, and we decided that our focus (and the focus of the rest of my thesis) should be on refining and extending the EQUATOR website.</w:t>
      </w:r>
    </w:p>
    <w:p>
      <w:r>
        <w:br w:type="page"/>
      </w:r>
    </w:p>
    <w:bookmarkStart w:id="44" w:name="refs"/>
    <w:bookmarkStart w:id="36" w:name="ref-michieBehaviourChangeWheel2011"/>
    <w:p>
      <w:pPr>
        <w:pStyle w:val="Bibliography"/>
      </w:pPr>
      <w:r>
        <w:t xml:space="preserve">1.</w:t>
      </w:r>
      <w:r>
        <w:t xml:space="preserve"> </w:t>
      </w:r>
      <w:r>
        <w:t xml:space="preserve">	</w:t>
      </w:r>
      <w:r>
        <w:t xml:space="preserve">Michie S, van Stralen MM, West R (2011)</w:t>
      </w:r>
      <w:r>
        <w:t xml:space="preserve"> </w:t>
      </w:r>
      <w:hyperlink r:id="rId35">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6"/>
    <w:bookmarkStart w:id="37"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7"/>
    <w:bookmarkStart w:id="39"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8">
        <w:r>
          <w:rPr>
            <w:rStyle w:val="Hyperlink"/>
          </w:rPr>
          <w:t xml:space="preserve">https://doi.org/10.4135/9781412963909</w:t>
        </w:r>
      </w:hyperlink>
    </w:p>
    <w:bookmarkEnd w:id="39"/>
    <w:bookmarkStart w:id="40"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40"/>
    <w:bookmarkStart w:id="42" w:name="ref-michieBehaviorChangeTechnique2013"/>
    <w:p>
      <w:pPr>
        <w:pStyle w:val="Bibliography"/>
      </w:pPr>
      <w:r>
        <w:t xml:space="preserve">5.</w:t>
      </w:r>
      <w:r>
        <w:t xml:space="preserve"> </w:t>
      </w:r>
      <w:r>
        <w:t xml:space="preserve">	</w:t>
      </w:r>
      <w:r>
        <w:t xml:space="preserve">Michie S, Richardson M, Johnston M, Abraham C, Francis J, Hardeman W, Eccles MP, Cane J, Wood CE (2013)</w:t>
      </w:r>
      <w:r>
        <w:t xml:space="preserve"> </w:t>
      </w:r>
      <w:hyperlink r:id="rId41">
        <w:r>
          <w:rPr>
            <w:rStyle w:val="Hyperlink"/>
          </w:rPr>
          <w:t xml:space="preserve">The behavior change technique taxonomy (v1) of 93 hierarchically clustered techniques: Building an international consensus for the reporting of behavior change interventions</w:t>
        </w:r>
      </w:hyperlink>
      <w:r>
        <w:t xml:space="preserve">. Annals of Behavioral Medicine: A Publication of the Society of Behavioral Medicine 46:81–95</w:t>
      </w:r>
    </w:p>
    <w:bookmarkEnd w:id="42"/>
    <w:bookmarkStart w:id="43" w:name="X40a827c9b98c54ca4758776dde46791e881f3e1"/>
    <w:p>
      <w:pPr>
        <w:pStyle w:val="Bibliography"/>
      </w:pPr>
      <w:r>
        <w:t xml:space="preserve">6.</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3"/>
    <w:bookmarkEnd w:id="44"/>
    <w:bookmarkEnd w:id="45"/>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1"/>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481C80"/>
    <w:pPr>
      <w:keepNext/>
      <w:keepLines/>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481C8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Pages>
  <Words>321</Words>
  <Characters>1218</Characters>
  <Application>Microsoft Office Word</Application>
  <DocSecurity>0</DocSecurity>
  <Lines>46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Commit ID: 16a22c3</dc:creator>
  <cp:keywords/>
  <dcterms:created xsi:type="dcterms:W3CDTF">2023-08-01T10:18:10Z</dcterms:created>
  <dcterms:modified xsi:type="dcterms:W3CDTF">2023-08-01T10:18:10Z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mmitID">
    <vt:lpwstr>COMMITID</vt:lpwstr>
  </property>
  <property fmtid="{D5CDD505-2E9C-101B-9397-08002B2CF9AE}" pid="9" name="crossref">
    <vt:lpwstr/>
  </property>
  <property fmtid="{D5CDD505-2E9C-101B-9397-08002B2CF9AE}" pid="10" name="csl">
    <vt:lpwstr>../../springer-vancouver.csl</vt:lpwstr>
  </property>
  <property fmtid="{D5CDD505-2E9C-101B-9397-08002B2CF9AE}" pid="11" name="date">
    <vt:lpwstr>2023-08-01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2</vt:lpwstr>
  </property>
  <property fmtid="{D5CDD505-2E9C-101B-9397-08002B2CF9AE}" pid="17" name="toc-title">
    <vt:lpwstr>Table of contents</vt:lpwstr>
  </property>
</Properties>
</file>