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p>
      <w:pPr>
        <w:pStyle w:val="Author"/>
      </w:pPr>
      <w:r>
        <w:t xml:space="preserve">Commit</w:t>
      </w:r>
      <w:r>
        <w:t xml:space="preserve"> </w:t>
      </w:r>
      <w:r>
        <w:t xml:space="preserve">ID:</w:t>
      </w:r>
      <w:r>
        <w:t xml:space="preserve"> </w:t>
      </w:r>
      <w:r>
        <w:t xml:space="preserve">b2b401e</w:t>
      </w:r>
    </w:p>
    <w:p>
      <w:pPr>
        <w:pStyle w:val="Date"/>
      </w:pPr>
      <w:r>
        <w:t xml:space="preserve">2023-07-21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Might take out Intervention Funcitons from each theme as I’ll have a separate table linking</w:t>
            </w:r>
          </w:p>
          <w:p>
            <w:pPr>
              <w:numPr>
                <w:ilvl w:val="0"/>
                <w:numId w:val="1001"/>
              </w:numPr>
              <w:pStyle w:val="Compact"/>
            </w:pPr>
            <w:r>
              <w:t xml:space="preserve">I need to name and cite bias in methods section</w:t>
            </w:r>
          </w:p>
        </w:tc>
      </w:tr>
    </w:tbl>
    <w:bookmarkStart w:id="20" w:name="introduction"/>
    <w:p>
      <w:pPr>
        <w:pStyle w:val="Heading1"/>
      </w:pPr>
      <w:r>
        <w:t xml:space="preserve">Introduction</w:t>
      </w:r>
    </w:p>
    <w:p>
      <w:pPr>
        <w:pStyle w:val="FirstParagraph"/>
      </w:pPr>
      <w:r>
        <w:t xml:space="preserve">In chapter 8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I also described how I modifed Michie’s approach by adding an</w:t>
      </w:r>
      <w:r>
        <w:t xml:space="preserve"> </w:t>
      </w:r>
      <w:r>
        <w:t xml:space="preserve">“</w:t>
      </w:r>
      <w:r>
        <w:t xml:space="preserve">ideas generation</w:t>
      </w:r>
      <w:r>
        <w:t xml:space="preserve">”</w:t>
      </w:r>
      <w:r>
        <w:t xml:space="preserve"> </w:t>
      </w:r>
      <w:r>
        <w:t xml:space="preserve">step before identifying behaviour change techniques (step 7).</w:t>
      </w:r>
    </w:p>
    <w:p>
      <w:pPr>
        <w:pStyle w:val="BodyText"/>
      </w:pPr>
      <w:r>
        <w:t xml:space="preserve">This chapter describes that additional step in more detail. The purpose was to gather ideas from the reporting guideline community on how to address reporting guideline limitations. I wanted to include this broader community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 expected that seeking input from a more diverse group would lead to</w:t>
      </w:r>
      <w:r>
        <w:t xml:space="preserve"> </w:t>
      </w:r>
      <w:r>
        <w:rPr>
          <w:iCs/>
          <w:i/>
        </w:rPr>
        <w:t xml:space="preserve">more</w:t>
      </w:r>
      <w:r>
        <w:t xml:space="preserve"> </w:t>
      </w:r>
      <w:r>
        <w:t xml:space="preserve">ideas and that those ideas would be more likely to gain traction.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w:t>
      </w:r>
    </w:p>
    <w:bookmarkEnd w:id="20"/>
    <w:bookmarkStart w:id="37" w:name="methods"/>
    <w:p>
      <w:pPr>
        <w:pStyle w:val="Heading1"/>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2"/>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comment on this document. The file can be seen in Appendix #TODO.</w:t>
      </w:r>
    </w:p>
    <w:bookmarkEnd w:id="21"/>
    <w:bookmarkStart w:id="22" w:name="focus-groups-with-external-stakeholders"/>
    <w:p>
      <w:pPr>
        <w:pStyle w:val="Heading2"/>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w:t>
      </w:r>
      <w:r>
        <w:rPr>
          <w:bCs/>
          <w:b/>
        </w:rPr>
        <w:t xml:space="preserve">givenFocusGroups2008?</w:t>
      </w:r>
      <w:r>
        <w:t xml:space="preserve">]</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2"/>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[2]</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2"/>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3" w:name="focus-groups"/>
    <w:p>
      <w:pPr>
        <w:pStyle w:val="Heading2"/>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Start w:id="32" w:name="data-processing-and-analysis"/>
    <w:p>
      <w:pPr>
        <w:pStyle w:val="Heading3"/>
      </w:pPr>
      <w:r>
        <w:t xml:space="preserve">Data processing and analysis</w:t>
      </w:r>
    </w:p>
    <w:p>
      <w:pPr>
        <w:pStyle w:val="FirstParagraph"/>
      </w:pPr>
      <w:r>
        <w:t xml:space="preserve">I imported the final ideas document into NVivo and applied descriptive codes to ideas. If a sentence contained multiple ideas, I would code each idea separately. I also coded the barriers and stakeholders that were related to each idea. I then grouped ideas that appeared against multiple influences.</w:t>
      </w:r>
    </w:p>
    <w:p>
      <w:pPr>
        <w:pStyle w:val="BodyText"/>
      </w:pPr>
      <w:r>
        <w:t xml:space="preserve">I used qualitative description for my analysis (</w:t>
      </w:r>
      <w:r>
        <w:t xml:space="preserve">[3]</w:t>
      </w:r>
      <w:r>
        <w:t xml:space="preserve">;</w:t>
      </w:r>
      <w:r>
        <w:t xml:space="preserve"> </w:t>
      </w:r>
      <w:r>
        <w:t xml:space="preserve">[4]</w:t>
      </w:r>
      <w:r>
        <w:t xml:space="preserve">), which involved aggregating and summarising ideas. I did not interpret data as doing so would erase the views captured during co-production. 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2"/>
    <w:bookmarkEnd w:id="33"/>
    <w:bookmarkStart w:id="35" w:name="reflexivity-trust"/>
    <w:p>
      <w:pPr>
        <w:pStyle w:val="Heading2"/>
      </w:pPr>
      <w:r>
        <w:t xml:space="preserve">Reflexivity &amp; Trust</w:t>
      </w:r>
    </w:p>
    <w:p>
      <w:pPr>
        <w:pStyle w:val="FirstParagraph"/>
      </w:pPr>
      <w:r>
        <w:t xml:space="preserve">In chapter 8 I described my active role within my workshops with EQUATOR.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Whereas I argued in chapter 8 that my subjectivity was an asset within the workshops, I still wanted to ensure that my results could be trusted as an account of participants’ views. Lincoln and Guba</w:t>
      </w:r>
      <w:r>
        <w:t xml:space="preserve"> </w:t>
      </w:r>
      <w:r>
        <w:t xml:space="preserve">[5]</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[5]</w:t>
      </w:r>
    </w:p>
    <w:tbl>
      <w:tblPr>
        <w:tblStyle w:val="Table"/>
        <w:tblW w:type="pct" w:w="5000"/>
        <w:tblLook w:firstRow="1" w:lastRow="0" w:firstColumn="0" w:lastColumn="0" w:noHBand="0" w:noVBand="0" w:val="0020"/>
        <w:jc w:val="start"/>
        <w:tblCaption w:val="Table 1: Techniques for establishing trustworthiness. Based on Lincoln and Guba’s Evaluative Criteria [5]"/>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[5]</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he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8),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2"/>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1"/>
      </w:pPr>
      <w:r>
        <w:t xml:space="preserve">Results</w:t>
      </w:r>
    </w:p>
    <w:bookmarkStart w:id="38" w:name="units-of-study"/>
    <w:p>
      <w:pPr>
        <w:pStyle w:val="Heading2"/>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w:t>
      </w:r>
    </w:p>
    <w:p>
      <w:pPr>
        <w:pStyle w:val="BodyText"/>
      </w:pPr>
      <w:r>
        <w:t xml:space="preserve">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Of the 23 invitations that I sent in total, 7 received no response. But because I invited people to share the invitation (which they did), I have no way of knowing my recruitment rate.</w:t>
      </w:r>
    </w:p>
    <w:p>
      <w:pPr>
        <w:pStyle w:val="BodyText"/>
      </w:pPr>
      <w:r>
        <w:t xml:space="preserve">Although I had intended to include 4 or 5 participants per focus group, in practice it was difficult to coordinate participants across time zones, and so sessions only had 2 or 3 participants.</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 do not describe which stakeholder ideas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In chapter 8 I describe how I judged options according to their acceptability, practicability, effectiveness, affordability, side-effects, and equity, and how these criteria are subjective and will differ between stakeholders. I had sought input from stakeholders because I expected that doing so would lead to</w:t>
      </w:r>
      <w:r>
        <w:t xml:space="preserve"> </w:t>
      </w:r>
      <w:r>
        <w:rPr>
          <w:iCs/>
          <w:i/>
        </w:rPr>
        <w:t xml:space="preserve">more</w:t>
      </w:r>
      <w:r>
        <w:t xml:space="preserve"> </w:t>
      </w:r>
      <w:r>
        <w:t xml:space="preserve">ideas, and ideas that were more likely to gain traction. But I didn’t expect</w:t>
      </w:r>
      <w:r>
        <w:t xml:space="preserve"> </w:t>
      </w:r>
      <w:r>
        <w:rPr>
          <w:iCs/>
          <w:i/>
        </w:rPr>
        <w:t xml:space="preserve">all</w:t>
      </w:r>
      <w:r>
        <w:t xml:space="preserve"> </w:t>
      </w:r>
      <w:r>
        <w:t xml:space="preserve">of their ideas to be</w:t>
      </w:r>
      <w:r>
        <w:t xml:space="preserve"> </w:t>
      </w:r>
      <w:r>
        <w:t xml:space="preserve">“</w:t>
      </w:r>
      <w:r>
        <w:t xml:space="preserve">good</w:t>
      </w:r>
      <w:r>
        <w:t xml:space="preserve">”</w:t>
      </w:r>
      <w:r>
        <w:t xml:space="preserve">. To the contrary, I had explicitly encouraged participants not to worry about whether or not an ideas was</w:t>
      </w:r>
      <w:r>
        <w:t xml:space="preserve"> </w:t>
      </w:r>
      <w:r>
        <w:t xml:space="preserve">“</w:t>
      </w:r>
      <w:r>
        <w:t xml:space="preserve">good</w:t>
      </w:r>
      <w:r>
        <w:t xml:space="preserve">”</w:t>
      </w:r>
      <w:r>
        <w:t xml:space="preserve">.</w:t>
      </w:r>
      <w:r>
        <w:t xml:space="preserve"> </w:t>
      </w:r>
      <w:r>
        <w:t xml:space="preserve">#TODO: edit the paragraph above.</w:t>
      </w:r>
    </w:p>
    <w:bookmarkEnd w:id="38"/>
    <w:bookmarkStart w:id="80" w:name="synthesis-and-summary"/>
    <w:p>
      <w:pPr>
        <w:pStyle w:val="Heading2"/>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3"/>
      </w:pPr>
      <w:r>
        <w:t xml:space="preserve">Before developing guidance</w:t>
      </w:r>
    </w:p>
    <w:bookmarkStart w:id="39" w:name="X1ce5ab018a343a9584e4d72f948a3df81cceacc"/>
    <w:p>
      <w:pPr>
        <w:pStyle w:val="Heading4"/>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p>
      <w:pPr>
        <w:pStyle w:val="BodyText"/>
      </w:pPr>
      <w:r>
        <w:t xml:space="preserve">Intervention Functions: Education</w:t>
      </w:r>
    </w:p>
    <w:bookmarkEnd w:id="39"/>
    <w:bookmarkStart w:id="40" w:name="var-ifs.avoid-proliferation"/>
    <w:p>
      <w:pPr>
        <w:pStyle w:val="Heading4"/>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[6]</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p>
      <w:pPr>
        <w:pStyle w:val="BodyText"/>
      </w:pPr>
      <w:r>
        <w:t xml:space="preserve">Intervention Functions: Enablement</w:t>
      </w:r>
    </w:p>
    <w:bookmarkEnd w:id="40"/>
    <w:bookmarkStart w:id="41" w:name="var-ifs.avoid-prescribing-structure"/>
    <w:p>
      <w:pPr>
        <w:pStyle w:val="Heading4"/>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p>
      <w:pPr>
        <w:pStyle w:val="BodyText"/>
      </w:pPr>
      <w:r>
        <w:t xml:space="preserve">Intervention Functions: Enablement</w:t>
      </w:r>
    </w:p>
    <w:bookmarkEnd w:id="41"/>
    <w:bookmarkStart w:id="42" w:name="var-ifs.design-agnostic"/>
    <w:p>
      <w:pPr>
        <w:pStyle w:val="Heading4"/>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p>
      <w:pPr>
        <w:pStyle w:val="BodyText"/>
      </w:pPr>
      <w:r>
        <w:t xml:space="preserve">Intervention Functions: Enablement, persuasion, (removal of) coercion</w:t>
      </w:r>
    </w:p>
    <w:bookmarkEnd w:id="42"/>
    <w:bookmarkStart w:id="44" w:name="var-ifs.item-content"/>
    <w:p>
      <w:pPr>
        <w:pStyle w:val="Heading4"/>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p>
      <w:pPr>
        <w:pStyle w:val="BodyText"/>
      </w:pPr>
      <w:r>
        <w:t xml:space="preserve">Intervention Functions: Education, modelling, persuasion</w:t>
      </w:r>
    </w:p>
    <w:bookmarkEnd w:id="44"/>
    <w:bookmarkStart w:id="45" w:name="var-ifs.rg-introductions"/>
    <w:p>
      <w:pPr>
        <w:pStyle w:val="Heading4"/>
      </w:pPr>
      <w:r>
        <w:t xml:space="preserve">Describe each reporting guideline fully</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p>
      <w:pPr>
        <w:pStyle w:val="BodyText"/>
      </w:pPr>
      <w:r>
        <w:t xml:space="preserve">Intervention Functions: Education, enablement, persuasion</w:t>
      </w:r>
    </w:p>
    <w:bookmarkEnd w:id="45"/>
    <w:bookmarkStart w:id="47" w:name="var-ifs.keep-short"/>
    <w:p>
      <w:pPr>
        <w:pStyle w:val="Heading4"/>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p>
      <w:pPr>
        <w:pStyle w:val="BodyText"/>
      </w:pPr>
      <w:r>
        <w:t xml:space="preserve">Intervention Functions: Enablement</w:t>
      </w:r>
    </w:p>
    <w:bookmarkEnd w:id="47"/>
    <w:bookmarkEnd w:id="48"/>
    <w:bookmarkStart w:id="58" w:name="var-stages.development"/>
    <w:p>
      <w:pPr>
        <w:pStyle w:val="Heading3"/>
      </w:pPr>
      <w:r>
        <w:t xml:space="preserve">When developing guidance</w:t>
      </w:r>
    </w:p>
    <w:bookmarkStart w:id="49" w:name="var-ifs.ready-to-use"/>
    <w:p>
      <w:pPr>
        <w:pStyle w:val="Heading4"/>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p>
      <w:pPr>
        <w:pStyle w:val="BodyText"/>
      </w:pPr>
      <w:r>
        <w:t xml:space="preserve">Intervention Functions: Enablement</w:t>
      </w:r>
    </w:p>
    <w:bookmarkEnd w:id="49"/>
    <w:bookmarkStart w:id="50" w:name="var-ifs.easy-understand"/>
    <w:p>
      <w:pPr>
        <w:pStyle w:val="Heading4"/>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p>
      <w:pPr>
        <w:pStyle w:val="BodyText"/>
      </w:pPr>
      <w:r>
        <w:t xml:space="preserve">Intervention Functions: Education, enablement</w:t>
      </w:r>
    </w:p>
    <w:bookmarkEnd w:id="50"/>
    <w:bookmarkStart w:id="51" w:name="var-ifs.persuade"/>
    <w:p>
      <w:pPr>
        <w:pStyle w:val="Heading4"/>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p>
      <w:pPr>
        <w:pStyle w:val="BodyText"/>
      </w:pPr>
      <w:r>
        <w:t xml:space="preserve">Intervention Functions: Persuasion</w:t>
      </w:r>
    </w:p>
    <w:bookmarkEnd w:id="51"/>
    <w:bookmarkStart w:id="54" w:name="var-ifs.create-tools"/>
    <w:p>
      <w:pPr>
        <w:pStyle w:val="Heading4"/>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p>
      <w:pPr>
        <w:pStyle w:val="BodyText"/>
      </w:pPr>
      <w:r>
        <w:t xml:space="preserve">Intervention Functions: Enablement</w:t>
      </w:r>
    </w:p>
    <w:bookmarkEnd w:id="54"/>
    <w:bookmarkStart w:id="55" w:name="var-ifs.findable-resources"/>
    <w:p>
      <w:pPr>
        <w:pStyle w:val="Heading4"/>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p>
      <w:pPr>
        <w:pStyle w:val="BodyText"/>
      </w:pPr>
      <w:r>
        <w:t xml:space="preserve">Intervention Functions: Environmental restructuring</w:t>
      </w:r>
    </w:p>
    <w:bookmarkEnd w:id="55"/>
    <w:bookmarkStart w:id="57" w:name="var-ifs.information-architecture"/>
    <w:p>
      <w:pPr>
        <w:pStyle w:val="Heading4"/>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p>
      <w:pPr>
        <w:pStyle w:val="BodyText"/>
      </w:pPr>
      <w:r>
        <w:t xml:space="preserve">Intervention Functions: Enablement</w:t>
      </w:r>
    </w:p>
    <w:bookmarkEnd w:id="57"/>
    <w:bookmarkEnd w:id="58"/>
    <w:bookmarkStart w:id="63" w:name="var-stages.dissemination"/>
    <w:p>
      <w:pPr>
        <w:pStyle w:val="Heading3"/>
      </w:pPr>
      <w:r>
        <w:t xml:space="preserve">When disseminating resources</w:t>
      </w:r>
    </w:p>
    <w:bookmarkStart w:id="59" w:name="var-ifs.value-statement"/>
    <w:p>
      <w:pPr>
        <w:pStyle w:val="Heading4"/>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p>
      <w:pPr>
        <w:pStyle w:val="BodyText"/>
      </w:pPr>
      <w:r>
        <w:t xml:space="preserve">Intervention Functions: Education</w:t>
      </w:r>
    </w:p>
    <w:bookmarkEnd w:id="59"/>
    <w:bookmarkStart w:id="60" w:name="var-ifs.accessible"/>
    <w:p>
      <w:pPr>
        <w:pStyle w:val="Heading4"/>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p>
      <w:pPr>
        <w:pStyle w:val="BodyText"/>
      </w:pPr>
      <w:r>
        <w:t xml:space="preserve">Intervention Functions: Enablement</w:t>
      </w:r>
    </w:p>
    <w:bookmarkEnd w:id="60"/>
    <w:bookmarkStart w:id="61" w:name="var-ifs.citation"/>
    <w:p>
      <w:pPr>
        <w:pStyle w:val="Heading4"/>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p>
      <w:pPr>
        <w:pStyle w:val="BodyText"/>
      </w:pPr>
      <w:r>
        <w:t xml:space="preserve">Intervention Functions: Persuasion, Education</w:t>
      </w:r>
    </w:p>
    <w:bookmarkEnd w:id="61"/>
    <w:bookmarkStart w:id="62" w:name="var-ifs.testimonials"/>
    <w:p>
      <w:pPr>
        <w:pStyle w:val="Heading4"/>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p>
      <w:pPr>
        <w:pStyle w:val="BodyText"/>
      </w:pPr>
      <w:r>
        <w:t xml:space="preserve">Intervention Functions: Modelling, Persuasion</w:t>
      </w:r>
    </w:p>
    <w:bookmarkEnd w:id="62"/>
    <w:bookmarkEnd w:id="63"/>
    <w:bookmarkStart w:id="79" w:name="var-stages.ongoing"/>
    <w:p>
      <w:pPr>
        <w:pStyle w:val="Heading3"/>
      </w:pPr>
      <w:r>
        <w:t xml:space="preserve">On an ongoing basis</w:t>
      </w:r>
    </w:p>
    <w:bookmarkStart w:id="64" w:name="var-ifs.budget-and-fund-reporting"/>
    <w:p>
      <w:pPr>
        <w:pStyle w:val="Heading4"/>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p>
      <w:pPr>
        <w:pStyle w:val="BodyText"/>
      </w:pPr>
      <w:r>
        <w:t xml:space="preserve">Intervention Functions: Enablement</w:t>
      </w:r>
    </w:p>
    <w:bookmarkEnd w:id="64"/>
    <w:bookmarkStart w:id="65" w:name="var-ifs.create-rewards"/>
    <w:p>
      <w:pPr>
        <w:pStyle w:val="Heading4"/>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p>
      <w:pPr>
        <w:pStyle w:val="BodyText"/>
      </w:pPr>
      <w:r>
        <w:t xml:space="preserve">Intervention Functions: Incentivization</w:t>
      </w:r>
    </w:p>
    <w:bookmarkEnd w:id="65"/>
    <w:bookmarkStart w:id="66" w:name="var-ifs.create-spaces"/>
    <w:p>
      <w:pPr>
        <w:pStyle w:val="Heading4"/>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p>
      <w:pPr>
        <w:pStyle w:val="BodyText"/>
      </w:pPr>
      <w:r>
        <w:t xml:space="preserve">Intervention Functions: Persuasion, Enablement</w:t>
      </w:r>
    </w:p>
    <w:bookmarkEnd w:id="66"/>
    <w:bookmarkStart w:id="68" w:name="var-ifs.early-acquisition"/>
    <w:p>
      <w:pPr>
        <w:pStyle w:val="Heading4"/>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p>
      <w:pPr>
        <w:pStyle w:val="BodyText"/>
      </w:pPr>
      <w:r>
        <w:t xml:space="preserve">Intervention Functions: Education, enablement, environmental-restructuring</w:t>
      </w:r>
    </w:p>
    <w:bookmarkEnd w:id="68"/>
    <w:bookmarkStart w:id="70" w:name="var-ifs.endorse-enforce"/>
    <w:p>
      <w:pPr>
        <w:pStyle w:val="Heading4"/>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p>
      <w:pPr>
        <w:pStyle w:val="BodyText"/>
      </w:pPr>
      <w:r>
        <w:t xml:space="preserve">Intervention Functions: Education, restriction, persuasion</w:t>
      </w:r>
    </w:p>
    <w:bookmarkEnd w:id="70"/>
    <w:bookmarkStart w:id="72" w:name="var-ifs.evidence-benefits"/>
    <w:p>
      <w:pPr>
        <w:pStyle w:val="Heading4"/>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p>
      <w:pPr>
        <w:pStyle w:val="BodyText"/>
      </w:pPr>
      <w:r>
        <w:t xml:space="preserve">Intervention Functions: Persuasion, education</w:t>
      </w:r>
    </w:p>
    <w:bookmarkEnd w:id="72"/>
    <w:bookmarkStart w:id="73" w:name="var-ifs.apparent-priority"/>
    <w:p>
      <w:pPr>
        <w:pStyle w:val="Heading4"/>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p>
      <w:pPr>
        <w:pStyle w:val="BodyText"/>
      </w:pPr>
      <w:r>
        <w:t xml:space="preserve">Intervention Functions: Persuasion</w:t>
      </w:r>
    </w:p>
    <w:bookmarkEnd w:id="73"/>
    <w:bookmarkStart w:id="75" w:name="var-ifs.promote"/>
    <w:p>
      <w:pPr>
        <w:pStyle w:val="Heading4"/>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p>
      <w:pPr>
        <w:pStyle w:val="BodyText"/>
      </w:pPr>
      <w:r>
        <w:t xml:space="preserve">Intervention Functions: Education</w:t>
      </w:r>
    </w:p>
    <w:bookmarkEnd w:id="75"/>
    <w:bookmarkStart w:id="76" w:name="var-ifs.reporting-champions"/>
    <w:p>
      <w:pPr>
        <w:pStyle w:val="Heading4"/>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p>
      <w:pPr>
        <w:pStyle w:val="BodyText"/>
      </w:pPr>
      <w:r>
        <w:t xml:space="preserve">Intervention Functions: Education, enablement</w:t>
      </w:r>
    </w:p>
    <w:bookmarkEnd w:id="76"/>
    <w:bookmarkStart w:id="77" w:name="var-ifs.support"/>
    <w:p>
      <w:pPr>
        <w:pStyle w:val="Heading4"/>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p>
      <w:pPr>
        <w:pStyle w:val="BodyText"/>
      </w:pPr>
      <w:r>
        <w:t xml:space="preserve">Intervention Functions: Education, training</w:t>
      </w:r>
    </w:p>
    <w:bookmarkEnd w:id="77"/>
    <w:bookmarkStart w:id="78" w:name="var-ifs.updating"/>
    <w:p>
      <w:pPr>
        <w:pStyle w:val="Heading4"/>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p>
      <w:pPr>
        <w:pStyle w:val="BodyText"/>
      </w:pPr>
      <w:r>
        <w:t xml:space="preserve">Intervention Functions: Enablement</w:t>
      </w:r>
    </w:p>
    <w:bookmarkEnd w:id="78"/>
    <w:bookmarkEnd w:id="79"/>
    <w:bookmarkEnd w:id="80"/>
    <w:bookmarkEnd w:id="81"/>
    <w:bookmarkStart w:id="101" w:name="discussion"/>
    <w:p>
      <w:pPr>
        <w:pStyle w:val="Heading1"/>
      </w:pPr>
      <w:r>
        <w:t xml:space="preserve">Discussion</w:t>
      </w:r>
    </w:p>
    <w:bookmarkStart w:id="100" w:name="description-of-findings"/>
    <w:p>
      <w:pPr>
        <w:pStyle w:val="Heading2"/>
      </w:pPr>
      <w:r>
        <w:t xml:space="preserve">Description of findings</w:t>
      </w:r>
    </w:p>
    <w:bookmarkStart w:id="82"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2"/>
    <w:bookmarkStart w:id="83"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3"/>
    <w:bookmarkStart w:id="85"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4">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[7]</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5"/>
    <w:bookmarkStart w:id="99"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8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98" w:name="refs"/>
    <w:bookmarkStart w:id="86"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6"/>
    <w:bookmarkStart w:id="88" w:name="ref-malterudSampleSizeQualitative2016"/>
    <w:p>
      <w:pPr>
        <w:pStyle w:val="Bibliography"/>
      </w:pPr>
      <w:r>
        <w:t xml:space="preserve">2.</w:t>
      </w:r>
      <w:r>
        <w:t xml:space="preserve"> </w:t>
      </w:r>
      <w:r>
        <w:t xml:space="preserve">	</w:t>
      </w:r>
      <w:r>
        <w:t xml:space="preserve">Malterud K, Siersma VD, Guassora AD (2016)</w:t>
      </w:r>
      <w:r>
        <w:t xml:space="preserve"> </w:t>
      </w:r>
      <w:hyperlink r:id="rId87">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88"/>
    <w:bookmarkStart w:id="90" w:name="Xebc840303820a9bc4cab85b111339fd67eec9cc"/>
    <w:p>
      <w:pPr>
        <w:pStyle w:val="Bibliography"/>
      </w:pPr>
      <w:r>
        <w:t xml:space="preserve">3.</w:t>
      </w:r>
      <w:r>
        <w:t xml:space="preserve"> </w:t>
      </w:r>
      <w:r>
        <w:t xml:space="preserve">	</w:t>
      </w:r>
      <w:r>
        <w:t xml:space="preserve">Bradshaw C, Atkinson S, Doody O (2017)</w:t>
      </w:r>
      <w:r>
        <w:t xml:space="preserve"> </w:t>
      </w:r>
      <w:hyperlink r:id="rId89">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0"/>
    <w:bookmarkStart w:id="92" w:name="Xdf768c4de40a88ed9fedd3bd7c28c1df59023c5"/>
    <w:p>
      <w:pPr>
        <w:pStyle w:val="Bibliography"/>
      </w:pPr>
      <w:r>
        <w:t xml:space="preserve">4.</w:t>
      </w:r>
      <w:r>
        <w:t xml:space="preserve"> </w:t>
      </w:r>
      <w:r>
        <w:t xml:space="preserve">	</w:t>
      </w:r>
      <w:r>
        <w:t xml:space="preserve">Kim H, Sefcik JS, Bradway C (2017)</w:t>
      </w:r>
      <w:r>
        <w:t xml:space="preserve"> </w:t>
      </w:r>
      <w:hyperlink r:id="rId91">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2"/>
    <w:bookmarkStart w:id="93" w:name="ref-lincolnNaturalisticInquiry1985"/>
    <w:p>
      <w:pPr>
        <w:pStyle w:val="Bibliography"/>
      </w:pPr>
      <w:r>
        <w:t xml:space="preserve">5.</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3"/>
    <w:bookmarkStart w:id="95" w:name="ref-appelbaumJournalArticleReporting2018"/>
    <w:p>
      <w:pPr>
        <w:pStyle w:val="Bibliography"/>
      </w:pPr>
      <w:r>
        <w:t xml:space="preserve">6.</w:t>
      </w:r>
      <w:r>
        <w:t xml:space="preserve"> </w:t>
      </w:r>
      <w:r>
        <w:t xml:space="preserve">	</w:t>
      </w:r>
      <w:r>
        <w:t xml:space="preserve">Appelbaum M, Cooper H, Kline RB, Mayo-Wilson E, Nezu AM, Rao SM (2018)</w:t>
      </w:r>
      <w:r>
        <w:t xml:space="preserve"> </w:t>
      </w:r>
      <w:hyperlink r:id="rId94">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5"/>
    <w:bookmarkStart w:id="97" w:name="ref-l.morganFocusGroupsQualitative1997"/>
    <w:p>
      <w:pPr>
        <w:pStyle w:val="Bibliography"/>
      </w:pPr>
      <w:r>
        <w:t xml:space="preserve">7.</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6">
        <w:r>
          <w:rPr>
            <w:rStyle w:val="Hyperlink"/>
          </w:rPr>
          <w:t xml:space="preserve">https://doi.org/10.4135/9781412984287</w:t>
        </w:r>
      </w:hyperlink>
    </w:p>
    <w:bookmarkEnd w:id="97"/>
    <w:bookmarkEnd w:id="98"/>
    <w:bookmarkEnd w:id="99"/>
    <w:bookmarkEnd w:id="100"/>
    <w:bookmarkEnd w:id="10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1" Target="https://doi.org/10.1002/nur.21768" TargetMode="External" /><Relationship Type="http://schemas.openxmlformats.org/officeDocument/2006/relationships/hyperlink" Id="rId94" Target="https://doi.org/10.1037/amp0000191" TargetMode="External" /><Relationship Type="http://schemas.openxmlformats.org/officeDocument/2006/relationships/hyperlink" Id="rId87" Target="https://doi.org/10.1177/1049732315617444" TargetMode="External" /><Relationship Type="http://schemas.openxmlformats.org/officeDocument/2006/relationships/hyperlink" Id="rId89" Target="https://doi.org/10.1177/2333393617742282" TargetMode="External" /><Relationship Type="http://schemas.openxmlformats.org/officeDocument/2006/relationships/hyperlink" Id="rId96" Target="https://doi.org/10.4135/9781412984287" TargetMode="External" /><Relationship Type="http://schemas.openxmlformats.org/officeDocument/2006/relationships/hyperlink" Id="rId84"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1" Target="https://doi.org/10.1002/nur.21768" TargetMode="External" /><Relationship Type="http://schemas.openxmlformats.org/officeDocument/2006/relationships/hyperlink" Id="rId94" Target="https://doi.org/10.1037/amp0000191" TargetMode="External" /><Relationship Type="http://schemas.openxmlformats.org/officeDocument/2006/relationships/hyperlink" Id="rId87" Target="https://doi.org/10.1177/1049732315617444" TargetMode="External" /><Relationship Type="http://schemas.openxmlformats.org/officeDocument/2006/relationships/hyperlink" Id="rId89" Target="https://doi.org/10.1177/2333393617742282" TargetMode="External" /><Relationship Type="http://schemas.openxmlformats.org/officeDocument/2006/relationships/hyperlink" Id="rId96" Target="https://doi.org/10.4135/9781412984287" TargetMode="External" /><Relationship Type="http://schemas.openxmlformats.org/officeDocument/2006/relationships/hyperlink" Id="rId84"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Commit ID: b2b401e</dc:creator>
  <cp:keywords/>
  <dcterms:created xsi:type="dcterms:W3CDTF">2023-07-21T20:58:42Z</dcterms:created>
  <dcterms:modified xsi:type="dcterms:W3CDTF">2023-07-21T20:58:42Z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