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bookmarkStart w:id="22" w:name="list-of-abbreviations"/>
    <w:p>
      <w:pPr>
        <w:pStyle w:val="Heading1"/>
      </w:pPr>
      <w:r>
        <w:t xml:space="preserve">List of abbreviations</w:t>
      </w:r>
    </w:p>
    <w:bookmarkStart w:id="20" w:name="sec-rg-abbreviations"/>
    <w:p>
      <w:pPr>
        <w:pStyle w:val="Heading2"/>
      </w:pPr>
      <w:r>
        <w:t xml:space="preserve">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on Guideline Standardization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Transparency in Reporting the Synthesis of Qualitative Research statement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 for Reporting Evidence-based practice Educational interventions and Teaching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 for Reporting Reliability and Agreement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Design Analysis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Outbreak Reports and Intervention Studies Of Nonsocomial infection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 Equity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with a Focus on Health Equity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Searches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Analyses and Methods in the Published Literature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Genetic Association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 for Reporting Interventions in Clinical Trials of Acupuncture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Evaluations with Nonrandomized Designs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</w:tbl>
    <w:bookmarkEnd w:id="20"/>
    <w:bookmarkStart w:id="21" w:name="sec-abbreviations"/>
    <w:p>
      <w:pPr>
        <w:pStyle w:val="Heading2"/>
      </w:pPr>
      <w:r>
        <w:t xml:space="preserve">Other Abbreviations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Appraisal Skills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the QUAlity and Transparency Of health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Index Medicus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Electronic Library</w:t>
            </w:r>
          </w:p>
        </w:tc>
      </w:tr>
    </w:tbl>
    <w:bookmarkEnd w:id="21"/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2023-08-04T13:28:25Z</dcterms:created>
  <dcterms:modified xsi:type="dcterms:W3CDTF">2023-08-04T13:28:25Z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