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16a22c3</w:t>
      </w:r>
    </w:p>
    <w:p>
      <w:pPr>
        <w:pStyle w:val="Date"/>
      </w:pPr>
      <w:r>
        <w:t xml:space="preserve">2023-08-01</w:t>
      </w:r>
    </w:p>
    <w:p>
      <w:pPr>
        <w:pStyle w:val="FirstParagraph"/>
      </w:pPr>
      <w:r>
        <w:t xml:space="preserve">Have I succeeded?</w:t>
      </w:r>
    </w:p>
    <w:p>
      <w:pPr>
        <w:numPr>
          <w:ilvl w:val="0"/>
          <w:numId w:val="1001"/>
        </w:numPr>
        <w:pStyle w:val="Compact"/>
      </w:pPr>
      <w:r>
        <w:t xml:space="preserve">Rehash why I wanted to transform RGs from a</w:t>
      </w:r>
      <w:r>
        <w:t xml:space="preserve"> </w:t>
      </w:r>
      <w:r>
        <w:t xml:space="preserve">“</w:t>
      </w:r>
      <w:r>
        <w:t xml:space="preserve">it seemed like a good idea at the time</w:t>
      </w:r>
      <w:r>
        <w:t xml:space="preserve">”</w:t>
      </w:r>
      <w:r>
        <w:t xml:space="preserve"> </w:t>
      </w:r>
      <w:r>
        <w:t xml:space="preserve">to a thought through intervention.</w:t>
      </w:r>
    </w:p>
    <w:p>
      <w:pPr>
        <w:numPr>
          <w:ilvl w:val="1"/>
          <w:numId w:val="1002"/>
        </w:numPr>
        <w:pStyle w:val="Compact"/>
      </w:pPr>
      <w:r>
        <w:t xml:space="preserve">Main motivator was to increase efficacy and raise standard of reporting</w:t>
      </w:r>
    </w:p>
    <w:p>
      <w:pPr>
        <w:numPr>
          <w:ilvl w:val="1"/>
          <w:numId w:val="1002"/>
        </w:numPr>
        <w:pStyle w:val="Compact"/>
      </w:pPr>
      <w:r>
        <w:t xml:space="preserve">But I haven’t done any kind of comparison or evaluation. Could be done in future</w:t>
      </w:r>
    </w:p>
    <w:p>
      <w:pPr>
        <w:numPr>
          <w:ilvl w:val="1"/>
          <w:numId w:val="1002"/>
        </w:numPr>
        <w:pStyle w:val="Compact"/>
      </w:pPr>
      <w:r>
        <w:t xml:space="preserve">Process did raise some interesting points though.</w:t>
      </w:r>
    </w:p>
    <w:p>
      <w:pPr>
        <w:numPr>
          <w:ilvl w:val="2"/>
          <w:numId w:val="1003"/>
        </w:numPr>
        <w:pStyle w:val="Compact"/>
      </w:pPr>
      <w:r>
        <w:t xml:space="preserve">Norman door</w:t>
      </w:r>
    </w:p>
    <w:p>
      <w:pPr>
        <w:numPr>
          <w:ilvl w:val="2"/>
          <w:numId w:val="1003"/>
        </w:numPr>
        <w:pStyle w:val="Compact"/>
      </w:pPr>
      <w:r>
        <w:t xml:space="preserve">Intention of guideline developers is for authors to consider nuanced guidance when writing.</w:t>
      </w:r>
    </w:p>
    <w:p>
      <w:pPr>
        <w:numPr>
          <w:ilvl w:val="2"/>
          <w:numId w:val="1003"/>
        </w:numPr>
        <w:pStyle w:val="Compact"/>
      </w:pPr>
      <w:r>
        <w:t xml:space="preserve">But existing distribution relied heavily on checklist enforcement by journals. Checklists lack nuance, don’t link to full guidance, often much easier to find than supplementary E&amp;Es. So guidelines were often perceived</w:t>
      </w:r>
      <w:r>
        <w:t xml:space="preserve"> </w:t>
      </w:r>
      <w:r>
        <w:rPr>
          <w:iCs/>
          <w:i/>
        </w:rPr>
        <w:t xml:space="preserve">as</w:t>
      </w:r>
      <w:r>
        <w:t xml:space="preserve"> </w:t>
      </w:r>
      <w:r>
        <w:t xml:space="preserve">the checklists, and as an administrative task to rather than help, and as design restrictions rather than description recommendations.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16a22c3</dc:creator>
  <cp:keywords/>
  <dcterms:created xsi:type="dcterms:W3CDTF">2023-08-01T10:18:07Z</dcterms:created>
  <dcterms:modified xsi:type="dcterms:W3CDTF">2023-08-01T10:18:07Z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../../springer-vancouver.csl</vt:lpwstr>
  </property>
  <property fmtid="{D5CDD505-2E9C-101B-9397-08002B2CF9AE}" pid="11" name="date">
    <vt:lpwstr>2023-08-01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