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a72ba16</w:t>
      </w:r>
    </w:p>
    <w:p>
      <w:pPr>
        <w:pStyle w:val="Date"/>
      </w:pPr>
      <w:r>
        <w:t xml:space="preserve">2023-10-24</w:t>
      </w:r>
    </w:p>
    <w:bookmarkStart w:id="75" w:name="intervention-components"/>
    <w:p>
      <w:pPr>
        <w:pStyle w:val="Heading1"/>
      </w:pPr>
      <w:r>
        <w:t xml:space="preserve">Intervention Components</w:t>
      </w:r>
    </w:p>
    <w:bookmarkStart w:id="20" w:name="value-statement"/>
    <w:p>
      <w:pPr>
        <w:pStyle w:val="Heading2"/>
      </w:pPr>
      <w:r>
        <w:t xml:space="preserve">Value statement</w:t>
      </w:r>
    </w:p>
    <w:p>
      <w:pPr>
        <w:pStyle w:val="FirstParagraph"/>
      </w:pPr>
      <w:r>
        <w:t xml:space="preserve">barrier_ids: [what-are-rgs, when-to-use, benefits, importance, feel-not-my-job]</w:t>
      </w:r>
      <w:r>
        <w:t xml:space="preserve"> </w:t>
      </w:r>
      <w:r>
        <w:t xml:space="preserve">intervention_fn_ids: [education]</w:t>
      </w:r>
    </w:p>
    <w:p>
      <w:pPr>
        <w:pStyle w:val="BodyText"/>
      </w:pPr>
      <w:r>
        <w:t xml:space="preserve">A clear, obvious description of:</w:t>
      </w:r>
    </w:p>
    <w:p>
      <w:pPr>
        <w:numPr>
          <w:ilvl w:val="0"/>
          <w:numId w:val="1001"/>
        </w:numPr>
        <w:pStyle w:val="Compact"/>
      </w:pPr>
      <w:r>
        <w:t xml:space="preserve">what reporting guidelines are</w:t>
      </w:r>
    </w:p>
    <w:p>
      <w:pPr>
        <w:numPr>
          <w:ilvl w:val="0"/>
          <w:numId w:val="1001"/>
        </w:numPr>
        <w:pStyle w:val="Compact"/>
      </w:pPr>
      <w:r>
        <w:t xml:space="preserve">how and when to use them</w:t>
      </w:r>
    </w:p>
    <w:p>
      <w:pPr>
        <w:numPr>
          <w:ilvl w:val="0"/>
          <w:numId w:val="1001"/>
        </w:numPr>
        <w:pStyle w:val="Compact"/>
      </w:pPr>
      <w:r>
        <w:t xml:space="preserve">why authors should use them, including:</w:t>
      </w:r>
    </w:p>
    <w:p>
      <w:pPr>
        <w:numPr>
          <w:ilvl w:val="1"/>
          <w:numId w:val="1002"/>
        </w:numPr>
        <w:pStyle w:val="Compact"/>
      </w:pPr>
      <w:r>
        <w:t xml:space="preserve">what personal benefits to expect</w:t>
      </w:r>
    </w:p>
    <w:p>
      <w:pPr>
        <w:numPr>
          <w:ilvl w:val="1"/>
          <w:numId w:val="1002"/>
        </w:numPr>
        <w:pStyle w:val="Compact"/>
      </w:pPr>
      <w:r>
        <w:t xml:space="preserve">the importance to others.</w:t>
      </w:r>
    </w:p>
    <w:bookmarkEnd w:id="20"/>
    <w:bookmarkStart w:id="21" w:name="ready-to-use-tools"/>
    <w:p>
      <w:pPr>
        <w:pStyle w:val="Heading2"/>
      </w:pPr>
      <w:r>
        <w:t xml:space="preserve">Ready to use tools</w:t>
      </w:r>
    </w:p>
    <w:p>
      <w:pPr>
        <w:pStyle w:val="FirstParagraph"/>
      </w:pPr>
      <w:r>
        <w:t xml:space="preserve">Documents in editable formats.</w:t>
      </w:r>
    </w:p>
    <w:bookmarkEnd w:id="21"/>
    <w:bookmarkStart w:id="22" w:name="citation-displays"/>
    <w:p>
      <w:pPr>
        <w:pStyle w:val="Heading2"/>
      </w:pPr>
      <w:r>
        <w:t xml:space="preserve">Citation displays</w:t>
      </w:r>
    </w:p>
    <w:bookmarkEnd w:id="22"/>
    <w:bookmarkStart w:id="23" w:name="citation-instruction"/>
    <w:p>
      <w:pPr>
        <w:pStyle w:val="Heading2"/>
      </w:pPr>
      <w:r>
        <w:t xml:space="preserve">Citation instruction</w:t>
      </w:r>
    </w:p>
    <w:bookmarkEnd w:id="23"/>
    <w:bookmarkStart w:id="24" w:name="structure-agnostic"/>
    <w:p>
      <w:pPr>
        <w:pStyle w:val="Heading2"/>
      </w:pPr>
      <w:r>
        <w:t xml:space="preserve">Structure agnostic</w:t>
      </w:r>
    </w:p>
    <w:p>
      <w:pPr>
        <w:pStyle w:val="FirstParagraph"/>
      </w:pPr>
      <w:r>
        <w:t xml:space="preserve">Remove any specification of structure.</w:t>
      </w:r>
    </w:p>
    <w:p>
      <w:pPr>
        <w:pStyle w:val="BodyText"/>
      </w:pPr>
      <w:r>
        <w:t xml:space="preserve">Be explicit about flexibility where items can go.</w:t>
      </w:r>
    </w:p>
    <w:bookmarkEnd w:id="24"/>
    <w:bookmarkStart w:id="25" w:name="plain-language"/>
    <w:p>
      <w:pPr>
        <w:pStyle w:val="Heading2"/>
      </w:pPr>
      <w:r>
        <w:t xml:space="preserve">Plain language</w:t>
      </w:r>
    </w:p>
    <w:bookmarkEnd w:id="25"/>
    <w:bookmarkStart w:id="26" w:name="define-terms"/>
    <w:p>
      <w:pPr>
        <w:pStyle w:val="Heading2"/>
      </w:pPr>
      <w:r>
        <w:t xml:space="preserve">Define terms</w:t>
      </w:r>
    </w:p>
    <w:bookmarkEnd w:id="26"/>
    <w:bookmarkStart w:id="27" w:name="X654f8799819203002660fa7a87341b3be79ab22"/>
    <w:p>
      <w:pPr>
        <w:pStyle w:val="Heading2"/>
      </w:pPr>
      <w:r>
        <w:t xml:space="preserve">Consistent terms across related resources</w:t>
      </w:r>
    </w:p>
    <w:bookmarkEnd w:id="27"/>
    <w:bookmarkStart w:id="28" w:name="translations"/>
    <w:p>
      <w:pPr>
        <w:pStyle w:val="Heading2"/>
      </w:pPr>
      <w:r>
        <w:t xml:space="preserve">Translations</w:t>
      </w:r>
    </w:p>
    <w:bookmarkEnd w:id="28"/>
    <w:bookmarkStart w:id="29" w:name="feedback-channels"/>
    <w:p>
      <w:pPr>
        <w:pStyle w:val="Heading2"/>
      </w:pPr>
      <w:r>
        <w:t xml:space="preserve">Feedback channels</w:t>
      </w:r>
    </w:p>
    <w:p>
      <w:pPr>
        <w:pStyle w:val="FirstParagraph"/>
      </w:pPr>
      <w:r>
        <w:t xml:space="preserve">barrier_ids: [understanding, feel-patronized, believed-benefits, how-to-report, how-to-do]</w:t>
      </w:r>
      <w:r>
        <w:t xml:space="preserve"> </w:t>
      </w:r>
      <w:r>
        <w:t xml:space="preserve">intervention_fn_ids: [enablement, persuasion]</w:t>
      </w:r>
    </w:p>
    <w:p>
      <w:pPr>
        <w:numPr>
          <w:ilvl w:val="0"/>
          <w:numId w:val="1003"/>
        </w:numPr>
        <w:pStyle w:val="Compact"/>
      </w:pPr>
      <w:r>
        <w:t xml:space="preserve">solicit help,</w:t>
      </w:r>
    </w:p>
    <w:p>
      <w:pPr>
        <w:numPr>
          <w:ilvl w:val="0"/>
          <w:numId w:val="1003"/>
        </w:numPr>
        <w:pStyle w:val="Compact"/>
      </w:pPr>
      <w:r>
        <w:t xml:space="preserve">share experiences,</w:t>
      </w:r>
    </w:p>
    <w:p>
      <w:pPr>
        <w:numPr>
          <w:ilvl w:val="0"/>
          <w:numId w:val="1003"/>
        </w:numPr>
        <w:pStyle w:val="Compact"/>
      </w:pPr>
      <w:r>
        <w:t xml:space="preserve">provide feedback to guideline developers,</w:t>
      </w:r>
    </w:p>
    <w:p>
      <w:pPr>
        <w:numPr>
          <w:ilvl w:val="0"/>
          <w:numId w:val="1003"/>
        </w:numPr>
        <w:pStyle w:val="Compact"/>
      </w:pPr>
      <w:r>
        <w:t xml:space="preserve">and cultivate a feeling of inclusivity and community ownership.</w:t>
      </w:r>
    </w:p>
    <w:bookmarkEnd w:id="29"/>
    <w:bookmarkStart w:id="30" w:name="seo-for-early-use"/>
    <w:p>
      <w:pPr>
        <w:pStyle w:val="Heading2"/>
      </w:pPr>
      <w:r>
        <w:t xml:space="preserve">SEO for early use</w:t>
      </w:r>
    </w:p>
    <w:bookmarkEnd w:id="30"/>
    <w:bookmarkStart w:id="31" w:name="design-agnostic"/>
    <w:p>
      <w:pPr>
        <w:pStyle w:val="Heading2"/>
      </w:pPr>
      <w:r>
        <w:t xml:space="preserve">Design agnostic</w:t>
      </w:r>
    </w:p>
    <w:p>
      <w:pPr>
        <w:pStyle w:val="FirstParagraph"/>
      </w:pPr>
      <w:r>
        <w:t xml:space="preserve">barrier_ids: [feel-restricted, feel-transparent, believed-costs, what-are-rgs]</w:t>
      </w:r>
      <w:r>
        <w:t xml:space="preserve"> </w:t>
      </w:r>
      <w:r>
        <w:t xml:space="preserve">intervention_fn_ids: [education]</w:t>
      </w:r>
    </w:p>
    <w:p>
      <w:pPr>
        <w:numPr>
          <w:ilvl w:val="0"/>
          <w:numId w:val="1004"/>
        </w:numPr>
        <w:pStyle w:val="Compact"/>
      </w:pPr>
      <w:r>
        <w:t xml:space="preserve">remove design assumptions</w:t>
      </w:r>
    </w:p>
    <w:p>
      <w:pPr>
        <w:numPr>
          <w:ilvl w:val="0"/>
          <w:numId w:val="1004"/>
        </w:numPr>
        <w:pStyle w:val="Compact"/>
      </w:pPr>
      <w:r>
        <w:t xml:space="preserve">add null case</w:t>
      </w:r>
    </w:p>
    <w:p>
      <w:pPr>
        <w:numPr>
          <w:ilvl w:val="0"/>
          <w:numId w:val="1004"/>
        </w:numPr>
        <w:pStyle w:val="Compact"/>
      </w:pPr>
      <w:r>
        <w:t xml:space="preserve">be explicit about agnosticism</w:t>
      </w:r>
    </w:p>
    <w:bookmarkEnd w:id="31"/>
    <w:bookmarkStart w:id="32" w:name="persuasion"/>
    <w:p>
      <w:pPr>
        <w:pStyle w:val="Heading2"/>
      </w:pPr>
      <w:r>
        <w:t xml:space="preserve">Persuasion</w:t>
      </w:r>
    </w:p>
    <w:p>
      <w:pPr>
        <w:pStyle w:val="FirstParagraph"/>
      </w:pPr>
      <w:r>
        <w:t xml:space="preserve">barrier_ids: [feel-transparent, feel-patronized, believed-benefits, feel-not-my-job]</w:t>
      </w:r>
      <w:r>
        <w:t xml:space="preserve"> </w:t>
      </w:r>
      <w:r>
        <w:t xml:space="preserve">intervention_fn_ids:</w:t>
      </w:r>
      <w:r>
        <w:t xml:space="preserve"> </w:t>
      </w:r>
      <w:hyperlink w:anchor="persuasion">
        <w:r>
          <w:rPr>
            <w:rStyle w:val="Hyperlink"/>
          </w:rPr>
          <w:t xml:space="preserve">persuasion</w:t>
        </w:r>
      </w:hyperlink>
    </w:p>
    <w:p>
      <w:pPr>
        <w:numPr>
          <w:ilvl w:val="0"/>
          <w:numId w:val="1005"/>
        </w:numPr>
        <w:pStyle w:val="Compact"/>
      </w:pPr>
      <w:r>
        <w:t xml:space="preserve">Use language and design to communicate confidence and simplicity as opposed to judgement and complexity.</w:t>
      </w:r>
    </w:p>
    <w:p>
      <w:pPr>
        <w:numPr>
          <w:ilvl w:val="0"/>
          <w:numId w:val="1005"/>
        </w:numPr>
        <w:pStyle w:val="Compact"/>
      </w:pPr>
      <w:r>
        <w:t xml:space="preserve">Encourage explanation even when choices were unusual or sub-optimal.</w:t>
      </w:r>
    </w:p>
    <w:p>
      <w:pPr>
        <w:numPr>
          <w:ilvl w:val="0"/>
          <w:numId w:val="1005"/>
        </w:numPr>
        <w:pStyle w:val="Compact"/>
      </w:pPr>
      <w:r>
        <w:t xml:space="preserve">Reassure authors that most research has limitations that can be addressed in Discussion sections.</w:t>
      </w:r>
    </w:p>
    <w:p>
      <w:pPr>
        <w:numPr>
          <w:ilvl w:val="0"/>
          <w:numId w:val="1005"/>
        </w:numPr>
        <w:pStyle w:val="Compact"/>
      </w:pPr>
      <w:r>
        <w:t xml:space="preserve">Reassure authors that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guidelines.</w:t>
      </w:r>
    </w:p>
    <w:p>
      <w:pPr>
        <w:numPr>
          <w:ilvl w:val="0"/>
          <w:numId w:val="1005"/>
        </w:numPr>
        <w:pStyle w:val="Compact"/>
      </w:pPr>
      <w:r>
        <w:t xml:space="preserve">Avoid patronizing authors.</w:t>
      </w:r>
    </w:p>
    <w:p>
      <w:pPr>
        <w:numPr>
          <w:ilvl w:val="0"/>
          <w:numId w:val="1005"/>
        </w:numPr>
        <w:pStyle w:val="Compact"/>
      </w:pPr>
      <w:r>
        <w:t xml:space="preserve">Consider wording instructions directly at the intended user.</w:t>
      </w:r>
      <w:r>
        <w:rPr>
          <w:vertAlign w:val="superscript"/>
        </w:rPr>
        <w:t xml:space="preserve">JH</w:t>
      </w:r>
    </w:p>
    <w:bookmarkEnd w:id="32"/>
    <w:bookmarkStart w:id="33" w:name="tools-for-the-job"/>
    <w:p>
      <w:pPr>
        <w:pStyle w:val="Heading2"/>
      </w:pPr>
      <w:r>
        <w:t xml:space="preserve">Tools for the job</w:t>
      </w:r>
    </w:p>
    <w:p>
      <w:pPr>
        <w:pStyle w:val="FirstParagraph"/>
      </w:pPr>
      <w:r>
        <w:t xml:space="preserve">barrier_ids: [need-tools, need-right-time]</w:t>
      </w:r>
      <w:r>
        <w:t xml:space="preserve"> </w:t>
      </w:r>
      <w:r>
        <w:t xml:space="preserve">intervention_fn_ids: [enablement]</w:t>
      </w:r>
    </w:p>
    <w:p>
      <w:pPr>
        <w:numPr>
          <w:ilvl w:val="0"/>
          <w:numId w:val="1006"/>
        </w:numPr>
        <w:pStyle w:val="Compact"/>
      </w:pPr>
      <w:r>
        <w:t xml:space="preserve">discussion points for planning research in the order decisions are made</w:t>
      </w:r>
    </w:p>
    <w:p>
      <w:pPr>
        <w:numPr>
          <w:ilvl w:val="0"/>
          <w:numId w:val="1006"/>
        </w:numPr>
        <w:pStyle w:val="Compact"/>
      </w:pPr>
      <w:r>
        <w:t xml:space="preserve">to-do lists for conducting research in the order data is collected</w:t>
      </w:r>
    </w:p>
    <w:p>
      <w:pPr>
        <w:numPr>
          <w:ilvl w:val="0"/>
          <w:numId w:val="1006"/>
        </w:numPr>
        <w:pStyle w:val="Compact"/>
      </w:pPr>
      <w:r>
        <w:t xml:space="preserve">templates for drafting</w:t>
      </w:r>
    </w:p>
    <w:p>
      <w:pPr>
        <w:numPr>
          <w:ilvl w:val="0"/>
          <w:numId w:val="1006"/>
        </w:numPr>
        <w:pStyle w:val="Compact"/>
      </w:pPr>
      <w:r>
        <w:t xml:space="preserve">checklists for checking manuscripts that are easy to fill out, update, and cross-check</w:t>
      </w:r>
    </w:p>
    <w:p>
      <w:pPr>
        <w:numPr>
          <w:ilvl w:val="0"/>
          <w:numId w:val="1006"/>
        </w:numPr>
        <w:pStyle w:val="Compact"/>
      </w:pPr>
      <w:r>
        <w:t xml:space="preserve">resources for peer reviewers who wish to review reporting quality including:</w:t>
      </w:r>
    </w:p>
    <w:p>
      <w:pPr>
        <w:numPr>
          <w:ilvl w:val="1"/>
          <w:numId w:val="1007"/>
        </w:numPr>
        <w:pStyle w:val="Compact"/>
      </w:pPr>
      <w:r>
        <w:t xml:space="preserve">guidance specifically for peer reviewers.</w:t>
      </w:r>
    </w:p>
    <w:p>
      <w:pPr>
        <w:numPr>
          <w:ilvl w:val="1"/>
          <w:numId w:val="1007"/>
        </w:numPr>
        <w:pStyle w:val="Compact"/>
      </w:pPr>
      <w:r>
        <w:t xml:space="preserve">commonly-used words that reviewers can search for to quickly find relevant text.</w:t>
      </w:r>
      <w:r>
        <w:rPr>
          <w:vertAlign w:val="superscript"/>
        </w:rPr>
        <w:t xml:space="preserve">JH</w:t>
      </w:r>
    </w:p>
    <w:p>
      <w:pPr>
        <w:numPr>
          <w:ilvl w:val="1"/>
          <w:numId w:val="1007"/>
        </w:numPr>
        <w:pStyle w:val="Compact"/>
      </w:pPr>
      <w:r>
        <w:t xml:space="preserve">suggested text that peer reviewers can copy to request information</w:t>
      </w:r>
    </w:p>
    <w:p>
      <w:pPr>
        <w:numPr>
          <w:ilvl w:val="1"/>
          <w:numId w:val="1007"/>
        </w:numPr>
        <w:pStyle w:val="Compact"/>
      </w:pPr>
      <w:r>
        <w:t xml:space="preserve">tools to generate feedback reports</w:t>
      </w:r>
    </w:p>
    <w:bookmarkEnd w:id="33"/>
    <w:bookmarkStart w:id="34" w:name="search-button"/>
    <w:p>
      <w:pPr>
        <w:pStyle w:val="Heading2"/>
      </w:pPr>
      <w:r>
        <w:t xml:space="preserve">Search button</w:t>
      </w:r>
    </w:p>
    <w:bookmarkEnd w:id="34"/>
    <w:bookmarkStart w:id="35" w:name="link-related-resources"/>
    <w:p>
      <w:pPr>
        <w:pStyle w:val="Heading2"/>
      </w:pPr>
      <w:r>
        <w:t xml:space="preserve">Link related resources</w:t>
      </w:r>
    </w:p>
    <w:bookmarkEnd w:id="35"/>
    <w:bookmarkStart w:id="36" w:name="link-related-translations"/>
    <w:p>
      <w:pPr>
        <w:pStyle w:val="Heading2"/>
      </w:pPr>
      <w:r>
        <w:t xml:space="preserve">Link related translations</w:t>
      </w:r>
    </w:p>
    <w:bookmarkEnd w:id="36"/>
    <w:bookmarkStart w:id="37" w:name="link-related-tools"/>
    <w:p>
      <w:pPr>
        <w:pStyle w:val="Heading2"/>
      </w:pPr>
      <w:r>
        <w:t xml:space="preserve">Link related tools</w:t>
      </w:r>
    </w:p>
    <w:bookmarkEnd w:id="37"/>
    <w:bookmarkStart w:id="38" w:name="host-resources-consistently"/>
    <w:p>
      <w:pPr>
        <w:pStyle w:val="Heading2"/>
      </w:pPr>
      <w:r>
        <w:t xml:space="preserve">Host resources consistently</w:t>
      </w:r>
    </w:p>
    <w:bookmarkEnd w:id="38"/>
    <w:bookmarkStart w:id="39" w:name="make-links-permanent-dois"/>
    <w:p>
      <w:pPr>
        <w:pStyle w:val="Heading2"/>
      </w:pPr>
      <w:r>
        <w:t xml:space="preserve">Make links permanent (DOIs)</w:t>
      </w:r>
    </w:p>
    <w:bookmarkEnd w:id="39"/>
    <w:bookmarkStart w:id="40" w:name="X4a43899e25b120cc3a6c327d5c446a5dd916031"/>
    <w:p>
      <w:pPr>
        <w:pStyle w:val="Heading2"/>
      </w:pPr>
      <w:r>
        <w:t xml:space="preserve">Case studies/quotes for experiential benefits</w:t>
      </w:r>
    </w:p>
    <w:bookmarkEnd w:id="40"/>
    <w:bookmarkStart w:id="41" w:name="consistent-ordering-of-item-content"/>
    <w:p>
      <w:pPr>
        <w:pStyle w:val="Heading2"/>
      </w:pPr>
      <w:r>
        <w:t xml:space="preserve">Consistent ordering of item content</w:t>
      </w:r>
    </w:p>
    <w:bookmarkEnd w:id="41"/>
    <w:bookmarkStart w:id="42" w:name="structure-item-content-with-headings"/>
    <w:p>
      <w:pPr>
        <w:pStyle w:val="Heading2"/>
      </w:pPr>
      <w:r>
        <w:t xml:space="preserve">Structure item content with headings</w:t>
      </w:r>
    </w:p>
    <w:bookmarkEnd w:id="42"/>
    <w:bookmarkStart w:id="43" w:name="Xc629a3a4b3f1f126b745a7d2195a5ffc761a7c9"/>
    <w:p>
      <w:pPr>
        <w:pStyle w:val="Heading2"/>
      </w:pPr>
      <w:r>
        <w:t xml:space="preserve">Use sections URLs so users/resources can link directly</w:t>
      </w:r>
    </w:p>
    <w:bookmarkEnd w:id="43"/>
    <w:bookmarkStart w:id="44" w:name="collapsible-sections"/>
    <w:p>
      <w:pPr>
        <w:pStyle w:val="Heading2"/>
      </w:pPr>
      <w:r>
        <w:t xml:space="preserve">Collapsible sections</w:t>
      </w:r>
    </w:p>
    <w:bookmarkEnd w:id="44"/>
    <w:bookmarkStart w:id="45" w:name="asides"/>
    <w:p>
      <w:pPr>
        <w:pStyle w:val="Heading2"/>
      </w:pPr>
      <w:r>
        <w:t xml:space="preserve">Asides</w:t>
      </w:r>
    </w:p>
    <w:bookmarkEnd w:id="45"/>
    <w:bookmarkStart w:id="46" w:name="describe-what-needs-to-be-reported"/>
    <w:p>
      <w:pPr>
        <w:pStyle w:val="Heading2"/>
      </w:pPr>
      <w:r>
        <w:t xml:space="preserve">Describe what needs to be reported</w:t>
      </w:r>
    </w:p>
    <w:bookmarkEnd w:id="46"/>
    <w:bookmarkStart w:id="47" w:name="X801ee008f12ac5f76cb0d2eb8fd830caf61e664"/>
    <w:p>
      <w:pPr>
        <w:pStyle w:val="Heading2"/>
      </w:pPr>
      <w:r>
        <w:t xml:space="preserve">Describe why the information is important and to whom</w:t>
      </w:r>
    </w:p>
    <w:bookmarkEnd w:id="47"/>
    <w:bookmarkStart w:id="48" w:name="Xa722a02074a7214939e75a461af9e2f836b1eb2"/>
    <w:p>
      <w:pPr>
        <w:pStyle w:val="Heading2"/>
      </w:pPr>
      <w:r>
        <w:t xml:space="preserve">Case studies / quotes from research consumers for items</w:t>
      </w:r>
    </w:p>
    <w:bookmarkEnd w:id="48"/>
    <w:bookmarkStart w:id="49" w:name="clarify-conditional-items"/>
    <w:p>
      <w:pPr>
        <w:pStyle w:val="Heading2"/>
      </w:pPr>
      <w:r>
        <w:t xml:space="preserve">Clarify conditional items</w:t>
      </w:r>
    </w:p>
    <w:bookmarkEnd w:id="49"/>
    <w:bookmarkStart w:id="50" w:name="indicate-priority"/>
    <w:p>
      <w:pPr>
        <w:pStyle w:val="Heading2"/>
      </w:pPr>
      <w:r>
        <w:t xml:space="preserve">Indicate priority</w:t>
      </w:r>
    </w:p>
    <w:bookmarkEnd w:id="50"/>
    <w:bookmarkStart w:id="51" w:name="X09cadaf9b38d469fc4e9cb8f02e370447a396aa"/>
    <w:p>
      <w:pPr>
        <w:pStyle w:val="Heading2"/>
      </w:pPr>
      <w:r>
        <w:t xml:space="preserve">Describe where (in manuscript) items can be reported</w:t>
      </w:r>
    </w:p>
    <w:bookmarkEnd w:id="51"/>
    <w:bookmarkStart w:id="52" w:name="instruct-for-null-case"/>
    <w:p>
      <w:pPr>
        <w:pStyle w:val="Heading2"/>
      </w:pPr>
      <w:r>
        <w:t xml:space="preserve">Instruct for null case</w:t>
      </w:r>
    </w:p>
    <w:bookmarkEnd w:id="52"/>
    <w:bookmarkStart w:id="53" w:name="X7afdf308b4315fe9098528149d64766bcbaa203"/>
    <w:p>
      <w:pPr>
        <w:pStyle w:val="Heading2"/>
      </w:pPr>
      <w:r>
        <w:t xml:space="preserve">Examples of good and bad reporting, with explanation</w:t>
      </w:r>
    </w:p>
    <w:bookmarkEnd w:id="53"/>
    <w:bookmarkStart w:id="54" w:name="examples-of-concise-reporting"/>
    <w:p>
      <w:pPr>
        <w:pStyle w:val="Heading2"/>
      </w:pPr>
      <w:r>
        <w:t xml:space="preserve">Examples of concise reporting</w:t>
      </w:r>
    </w:p>
    <w:bookmarkEnd w:id="54"/>
    <w:bookmarkStart w:id="55" w:name="X430c3148dbe6f9fa1807ab8e5101205f918771e"/>
    <w:p>
      <w:pPr>
        <w:pStyle w:val="Heading2"/>
      </w:pPr>
      <w:r>
        <w:t xml:space="preserve">Examples of reporting in different locations</w:t>
      </w:r>
    </w:p>
    <w:bookmarkEnd w:id="55"/>
    <w:bookmarkStart w:id="56" w:name="Xd99457cd965da97b8a8f3d7e93f31eb54003feb"/>
    <w:p>
      <w:pPr>
        <w:pStyle w:val="Heading2"/>
      </w:pPr>
      <w:r>
        <w:t xml:space="preserve">Examples of well reported</w:t>
      </w:r>
      <w:r>
        <w:t xml:space="preserve"> </w:t>
      </w:r>
      <w:r>
        <w:t xml:space="preserve">“</w:t>
      </w:r>
      <w:r>
        <w:t xml:space="preserve">imperfect</w:t>
      </w:r>
      <w:r>
        <w:t xml:space="preserve">”</w:t>
      </w:r>
      <w:r>
        <w:t xml:space="preserve"> </w:t>
      </w:r>
      <w:r>
        <w:t xml:space="preserve">items #TODO</w:t>
      </w:r>
    </w:p>
    <w:bookmarkEnd w:id="56"/>
    <w:bookmarkStart w:id="57" w:name="links-to-external-design-advice"/>
    <w:p>
      <w:pPr>
        <w:pStyle w:val="Heading2"/>
      </w:pPr>
      <w:r>
        <w:t xml:space="preserve">Links to external design advice</w:t>
      </w:r>
    </w:p>
    <w:bookmarkEnd w:id="57"/>
    <w:bookmarkStart w:id="58" w:name="links-to-external-appraisal-advice"/>
    <w:p>
      <w:pPr>
        <w:pStyle w:val="Heading2"/>
      </w:pPr>
      <w:r>
        <w:t xml:space="preserve">Links to external appraisal advice</w:t>
      </w:r>
    </w:p>
    <w:bookmarkEnd w:id="58"/>
    <w:bookmarkStart w:id="59" w:name="definition-of-rg-scope-in-plain-language"/>
    <w:p>
      <w:pPr>
        <w:pStyle w:val="Heading2"/>
      </w:pPr>
      <w:r>
        <w:t xml:space="preserve">Definition of RG scope in plain language</w:t>
      </w:r>
    </w:p>
    <w:bookmarkEnd w:id="59"/>
    <w:bookmarkStart w:id="60" w:name="X1d846968a58a9df25bd822bd3a75dc2bacc9d8f"/>
    <w:p>
      <w:pPr>
        <w:pStyle w:val="Heading2"/>
      </w:pPr>
      <w:r>
        <w:t xml:space="preserve">If-then rules to direct to other resources</w:t>
      </w:r>
    </w:p>
    <w:bookmarkEnd w:id="60"/>
    <w:bookmarkStart w:id="61" w:name="instruction-for-alternative-use-cases"/>
    <w:p>
      <w:pPr>
        <w:pStyle w:val="Heading2"/>
      </w:pPr>
      <w:r>
        <w:t xml:space="preserve">Instruction for alternative use cases</w:t>
      </w:r>
    </w:p>
    <w:bookmarkEnd w:id="61"/>
    <w:bookmarkStart w:id="62" w:name="X4dfa7beac9e0455669cdb7448828310dc3283f7"/>
    <w:p>
      <w:pPr>
        <w:pStyle w:val="Heading2"/>
      </w:pPr>
      <w:r>
        <w:t xml:space="preserve">Instruction of what tasks the RG can and cannot be used for</w:t>
      </w:r>
    </w:p>
    <w:bookmarkEnd w:id="62"/>
    <w:bookmarkStart w:id="63" w:name="X0479a3f710dfcd9f2f183807e71b9da19001ff8"/>
    <w:p>
      <w:pPr>
        <w:pStyle w:val="Heading2"/>
      </w:pPr>
      <w:r>
        <w:t xml:space="preserve">Estimation of how long the resource will take to read</w:t>
      </w:r>
    </w:p>
    <w:bookmarkEnd w:id="63"/>
    <w:bookmarkStart w:id="64" w:name="explain-why-the-guidance-can-be-trusted"/>
    <w:p>
      <w:pPr>
        <w:pStyle w:val="Heading2"/>
      </w:pPr>
      <w:r>
        <w:t xml:space="preserve">Explain why the guidance can be trusted</w:t>
      </w:r>
    </w:p>
    <w:bookmarkEnd w:id="64"/>
    <w:bookmarkStart w:id="65" w:name="link-to-development-article"/>
    <w:p>
      <w:pPr>
        <w:pStyle w:val="Heading2"/>
      </w:pPr>
      <w:r>
        <w:t xml:space="preserve">Link to development article</w:t>
      </w:r>
    </w:p>
    <w:bookmarkEnd w:id="65"/>
    <w:bookmarkStart w:id="66" w:name="concise-writing"/>
    <w:p>
      <w:pPr>
        <w:pStyle w:val="Heading2"/>
      </w:pPr>
      <w:r>
        <w:t xml:space="preserve">Concise writing</w:t>
      </w:r>
    </w:p>
    <w:bookmarkEnd w:id="66"/>
    <w:bookmarkStart w:id="67" w:name="testimonials-from-authors"/>
    <w:p>
      <w:pPr>
        <w:pStyle w:val="Heading2"/>
      </w:pPr>
      <w:r>
        <w:t xml:space="preserve">Testimonials from authors</w:t>
      </w:r>
    </w:p>
    <w:bookmarkEnd w:id="67"/>
    <w:bookmarkStart w:id="68" w:name="testimonials-from-decision-makers"/>
    <w:p>
      <w:pPr>
        <w:pStyle w:val="Heading2"/>
      </w:pPr>
      <w:r>
        <w:t xml:space="preserve">Testimonials from decision makers</w:t>
      </w:r>
    </w:p>
    <w:bookmarkEnd w:id="68"/>
    <w:bookmarkStart w:id="69" w:name="testimonials-from-reviewers"/>
    <w:p>
      <w:pPr>
        <w:pStyle w:val="Heading2"/>
      </w:pPr>
      <w:r>
        <w:t xml:space="preserve">Testimonials from reviewers</w:t>
      </w:r>
    </w:p>
    <w:bookmarkEnd w:id="69"/>
    <w:bookmarkStart w:id="70" w:name="testimonials-from-patients"/>
    <w:p>
      <w:pPr>
        <w:pStyle w:val="Heading2"/>
      </w:pPr>
      <w:r>
        <w:t xml:space="preserve">Testimonials from patients</w:t>
      </w:r>
    </w:p>
    <w:bookmarkEnd w:id="70"/>
    <w:bookmarkStart w:id="71" w:name="testimonials-from-evidence-synthesizers"/>
    <w:p>
      <w:pPr>
        <w:pStyle w:val="Heading2"/>
      </w:pPr>
      <w:r>
        <w:t xml:space="preserve">Testimonials from evidence synthesizers</w:t>
      </w:r>
    </w:p>
    <w:bookmarkEnd w:id="71"/>
    <w:bookmarkStart w:id="72" w:name="testimonials-from-research-users"/>
    <w:p>
      <w:pPr>
        <w:pStyle w:val="Heading2"/>
      </w:pPr>
      <w:r>
        <w:t xml:space="preserve">Testimonials from research users</w:t>
      </w:r>
    </w:p>
    <w:bookmarkEnd w:id="72"/>
    <w:bookmarkStart w:id="73" w:name="links-to-training"/>
    <w:p>
      <w:pPr>
        <w:pStyle w:val="Heading2"/>
      </w:pPr>
      <w:r>
        <w:t xml:space="preserve">Links to training</w:t>
      </w:r>
    </w:p>
    <w:bookmarkEnd w:id="73"/>
    <w:bookmarkStart w:id="74" w:name="links-to-support-services"/>
    <w:p>
      <w:pPr>
        <w:pStyle w:val="Heading2"/>
      </w:pPr>
      <w:r>
        <w:t xml:space="preserve">Links to support services</w:t>
      </w:r>
    </w:p>
    <w:bookmarkEnd w:id="74"/>
    <w:bookmarkEnd w:id="75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a72ba16</dc:creator>
  <cp:keywords/>
  <dcterms:created xsi:type="dcterms:W3CDTF">2023-10-24T09:56:57Z</dcterms:created>
  <dcterms:modified xsi:type="dcterms:W3CDTF">2023-10-24T09:56:57Z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../springer-vancouver.csl</vt:lpwstr>
  </property>
  <property fmtid="{D5CDD505-2E9C-101B-9397-08002B2CF9AE}" pid="11" name="date">
    <vt:lpwstr>2023-10-24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