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D0C" w:rsidRDefault="00540D0C" w:rsidP="00540D0C">
      <w:pPr>
        <w:spacing w:line="360" w:lineRule="auto"/>
      </w:pPr>
    </w:p>
    <w:p w:rsidR="00540D0C" w:rsidRDefault="00540D0C" w:rsidP="00540D0C">
      <w:pPr>
        <w:spacing w:line="360" w:lineRule="auto"/>
      </w:pPr>
    </w:p>
    <w:p w:rsidR="00540D0C" w:rsidRDefault="00540D0C" w:rsidP="00540D0C">
      <w:pPr>
        <w:spacing w:line="360" w:lineRule="auto"/>
      </w:pPr>
    </w:p>
    <w:p w:rsidR="00540D0C" w:rsidRDefault="00540D0C" w:rsidP="00540D0C">
      <w:pPr>
        <w:spacing w:line="360" w:lineRule="auto"/>
      </w:pPr>
      <w:r>
        <w:t xml:space="preserve">Better estimates of functional trait diversity are likely to be key in resolving this matter. In this study we selected a general set of traits to encompass the major axes of variation in ecological strategy in both terrestrial and riparian communities. Further investigation of traits specific to flow-response strategies is warranted </w:t>
      </w:r>
      <w:r>
        <w:fldChar w:fldCharType="begin" w:fldLock="1"/>
      </w:r>
      <w: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"formattedCitation" : "(Merritt et al. 2010)", "plainTextFormattedCitation" : "(Merritt et al. 2010)", "previouslyFormattedCitation" : "(Merritt et al. 2010)" }, "properties" : { "noteIndex" : 0 }, "schema" : "https://github.com/citation-style-language/schema/raw/master/csl-citation.json" }</w:instrText>
      </w:r>
      <w:r>
        <w:fldChar w:fldCharType="separate"/>
      </w:r>
      <w:r w:rsidRPr="00F4674E">
        <w:rPr>
          <w:noProof/>
        </w:rPr>
        <w:t>(Merritt et al. 2010)</w:t>
      </w:r>
      <w:r>
        <w:fldChar w:fldCharType="end"/>
      </w:r>
      <w:r>
        <w:t xml:space="preserve">. Rooting traits, in particular, while difficult to obtain, but capture important information about riparian plant ecological strategy </w:t>
      </w:r>
      <w:r>
        <w:fldChar w:fldCharType="begin" w:fldLock="1"/>
      </w:r>
      <w:r>
        <w:instrText>ADDIN CSL_CITATION { "citationItems" : [ { "id" : "ITEM-1", "itemData" : { "DOI" : "10.1016/j.jaridenv.2013.02.004", "ISSN" : "01401963", "author" : [ { "dropping-particle" : "", "family" : "Stromberg", "given" : "J.C.", "non-dropping-particle" : "", "parse-names" : false, "suffix" : "" } ], "container-title" : "Journal of Arid Environments", "id" : "ITEM-1", "issued" : { "date-parts" : [ [ "2013", "7" ] ] }, "page" : "1-9", "publisher" : "Elsevier Ltd", "title" : "Root patterns and hydrogeomorphic niches of riparian plants in the American Southwest", "type" : "article-journal", "volume" : "94" }, "uris" : [ "http://www.mendeley.com/documents/?uuid=fc8d2260-6742-41dc-8217-da0272307c67" ] } ], "mendeley" : { "formattedCitation" : "(Stromberg 2013)", "plainTextFormattedCitation" : "(Stromberg 2013)", "previouslyFormattedCitation" : "(Stromberg 2013)" }, "properties" : { "noteIndex" : 0 }, "schema" : "https://github.com/citation-style-language/schema/raw/master/csl-citation.json" }</w:instrText>
      </w:r>
      <w:r>
        <w:fldChar w:fldCharType="separate"/>
      </w:r>
      <w:r w:rsidRPr="00F4674E">
        <w:rPr>
          <w:noProof/>
        </w:rPr>
        <w:t>(Stromberg 2013)</w:t>
      </w:r>
      <w:r>
        <w:fldChar w:fldCharType="end"/>
      </w:r>
      <w:r>
        <w:t xml:space="preserve">. </w:t>
      </w:r>
      <w:r w:rsidRPr="00B14FEA">
        <w:t>The</w:t>
      </w:r>
      <w:r>
        <w:t xml:space="preserve"> importance of intraspecific variation is also being increasingly recognised in functional ecology </w:t>
      </w:r>
      <w:r>
        <w:fldChar w:fldCharType="begin" w:fldLock="1"/>
      </w:r>
      <w:r>
        <w:instrText>ADDIN CSL_CITATION { "citationItems" : [ { "id" : "ITEM-1", "itemData" : { "DOI" : "10.1016/j.tree.2011.11.014",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&amp; evolution", "id" : "ITEM-1", "issue" : "4", "issued" : { "date-parts" : [ [ "2012", "4" ] ] }, "page" : "244-52", "title" : "The return of the variance: intraspecific variability in community ecology.", "type" : "article-journal", "volume" : "27" }, "uris" : [ "http://www.mendeley.com/documents/?uuid=b1ba9724-dec8-48c7-9785-a84f01283c94" ] } ], "mendeley" : { "formattedCitation" : "(Violle et al. 2012)", "plainTextFormattedCitation" : "(Violle et al. 2012)", "previouslyFormattedCitation" : "(Violle et al. 2012)" }, "properties" : { "noteIndex" : 0 }, "schema" : "https://github.com/citation-style-language/schema/raw/master/csl-citation.json" }</w:instrText>
      </w:r>
      <w:r>
        <w:fldChar w:fldCharType="separate"/>
      </w:r>
      <w:r w:rsidRPr="00B14FEA">
        <w:rPr>
          <w:noProof/>
        </w:rPr>
        <w:t>(Violle et al. 2012)</w:t>
      </w:r>
      <w:r>
        <w:fldChar w:fldCharType="end"/>
      </w:r>
      <w:r>
        <w:t xml:space="preserve">. Again, this data is time-consuming and expensive to obtain, especially for traits such as seed mass, which </w:t>
      </w:r>
      <w:proofErr w:type="spellStart"/>
      <w:r>
        <w:t>can not</w:t>
      </w:r>
      <w:proofErr w:type="spellEnd"/>
      <w:r>
        <w:t xml:space="preserve"> be collected for all species simultaneously.</w:t>
      </w:r>
    </w:p>
    <w:p w:rsidR="00540D0C" w:rsidRDefault="00540D0C" w:rsidP="00540D0C">
      <w:r>
        <w:t xml:space="preserve">Interactions between </w:t>
      </w:r>
      <w:proofErr w:type="spellStart"/>
      <w:r>
        <w:t>env</w:t>
      </w:r>
      <w:proofErr w:type="spellEnd"/>
      <w:r>
        <w:t xml:space="preserve"> variables?</w:t>
      </w:r>
    </w:p>
    <w:p w:rsidR="00540D0C" w:rsidRDefault="00540D0C" w:rsidP="00540D0C">
      <w:r>
        <w:t>Belowground traits, categorical data types that allow multiple category membership (</w:t>
      </w:r>
      <w:proofErr w:type="spellStart"/>
      <w:r>
        <w:t>Pavoine</w:t>
      </w:r>
      <w:proofErr w:type="spellEnd"/>
      <w:r>
        <w:t>)</w:t>
      </w:r>
    </w:p>
    <w:p w:rsidR="00540D0C" w:rsidRDefault="00540D0C" w:rsidP="00540D0C">
      <w:r>
        <w:tab/>
        <w:t xml:space="preserve">The traits I chose must have been at least half way decent at capturing variation in ecological response to hydrological conditions. </w:t>
      </w:r>
    </w:p>
    <w:p w:rsidR="00540D0C" w:rsidRDefault="00540D0C" w:rsidP="00540D0C">
      <w:r>
        <w:tab/>
        <w:t>Intraspecific variation</w:t>
      </w:r>
    </w:p>
    <w:p w:rsidR="00540D0C" w:rsidRDefault="00540D0C" w:rsidP="00540D0C">
      <w:r>
        <w:t>What are the implications for conservation?</w:t>
      </w:r>
    </w:p>
    <w:p w:rsidR="00540D0C" w:rsidRDefault="00540D0C" w:rsidP="00540D0C">
      <w:r>
        <w:tab/>
        <w:t>Are environmental flows likely to be a useful tool in conservation in this landscape?</w:t>
      </w:r>
    </w:p>
    <w:p w:rsidR="00540D0C" w:rsidRDefault="00540D0C" w:rsidP="00540D0C">
      <w:r>
        <w:tab/>
      </w:r>
      <w:r>
        <w:tab/>
        <w:t xml:space="preserve">Depends how they’re structured – to generate disturbance or to simulate a modelled pre-development flow regime. Interesting to note that species richness actually *increased* in response to increased regularity imposed by dams (and there was no corresponding increase in exotic spp. to account for the extra richness). </w:t>
      </w:r>
    </w:p>
    <w:p w:rsidR="00540D0C" w:rsidRDefault="00540D0C" w:rsidP="00540D0C">
      <w:r>
        <w:tab/>
        <w:t xml:space="preserve">Are there perhaps some sensitive systems where </w:t>
      </w:r>
      <w:proofErr w:type="spellStart"/>
      <w:r>
        <w:t>multifunctionality</w:t>
      </w:r>
      <w:proofErr w:type="spellEnd"/>
      <w:r>
        <w:t xml:space="preserve"> is naturally low? </w:t>
      </w:r>
    </w:p>
    <w:p w:rsidR="00540D0C" w:rsidRDefault="00540D0C" w:rsidP="00540D0C">
      <w:r>
        <w:tab/>
        <w:t xml:space="preserve">Relationships between </w:t>
      </w:r>
      <w:proofErr w:type="spellStart"/>
      <w:r>
        <w:t>spp</w:t>
      </w:r>
      <w:proofErr w:type="spellEnd"/>
      <w:r>
        <w:t xml:space="preserve"> rich, </w:t>
      </w:r>
      <w:proofErr w:type="spellStart"/>
      <w:r>
        <w:t>FDis</w:t>
      </w:r>
      <w:proofErr w:type="spellEnd"/>
      <w:r>
        <w:t xml:space="preserve">, </w:t>
      </w:r>
      <w:proofErr w:type="spellStart"/>
      <w:r>
        <w:t>FRic</w:t>
      </w:r>
      <w:proofErr w:type="spellEnd"/>
      <w:r>
        <w:t xml:space="preserve"> and exotic abundance? </w:t>
      </w:r>
    </w:p>
    <w:p w:rsidR="00540D0C" w:rsidRDefault="00540D0C" w:rsidP="00540D0C">
      <w:r>
        <w:tab/>
      </w:r>
      <w:r>
        <w:tab/>
        <w:t>Significant log relationship with spp. richness (steep at low exotic abundance)</w:t>
      </w:r>
    </w:p>
    <w:p w:rsidR="00540D0C" w:rsidRDefault="00540D0C" w:rsidP="00540D0C">
      <w:pPr>
        <w:tabs>
          <w:tab w:val="left" w:pos="720"/>
          <w:tab w:val="left" w:pos="1440"/>
          <w:tab w:val="left" w:pos="2160"/>
          <w:tab w:val="left" w:pos="2880"/>
          <w:tab w:val="left" w:pos="3600"/>
          <w:tab w:val="left" w:pos="4320"/>
          <w:tab w:val="left" w:pos="5760"/>
        </w:tabs>
      </w:pPr>
      <w:r>
        <w:tab/>
      </w:r>
      <w:r>
        <w:tab/>
        <w:t xml:space="preserve">Can’t really say much about whether exotics are the cause of reduced spp. richness or whether they’re both passengers of the same processes.  </w:t>
      </w:r>
      <w:r>
        <w:tab/>
      </w:r>
    </w:p>
    <w:p w:rsidR="00540D0C" w:rsidRDefault="00540D0C" w:rsidP="00540D0C">
      <w:pPr>
        <w:ind w:left="720"/>
      </w:pPr>
      <w:r>
        <w:tab/>
        <w:t xml:space="preserve">Nothing significant with </w:t>
      </w:r>
      <w:proofErr w:type="spellStart"/>
      <w:r>
        <w:t>FDis</w:t>
      </w:r>
      <w:proofErr w:type="spellEnd"/>
      <w:r>
        <w:t xml:space="preserve"> or </w:t>
      </w:r>
      <w:proofErr w:type="spellStart"/>
      <w:r>
        <w:t>FRic</w:t>
      </w:r>
      <w:proofErr w:type="spellEnd"/>
      <w:r>
        <w:t>. Not really that much data at high exotic abundance…</w:t>
      </w:r>
    </w:p>
    <w:p w:rsidR="00540D0C" w:rsidRDefault="00540D0C" w:rsidP="00540D0C">
      <w:pPr>
        <w:spacing w:line="360" w:lineRule="auto"/>
      </w:pPr>
    </w:p>
    <w:p w:rsidR="00540D0C" w:rsidRPr="00E36890" w:rsidRDefault="00540D0C" w:rsidP="00540D0C">
      <w:pPr>
        <w:spacing w:line="360" w:lineRule="auto"/>
        <w:rPr>
          <w:b/>
        </w:rPr>
      </w:pPr>
      <w:proofErr w:type="spellStart"/>
      <w:r w:rsidRPr="00E36890">
        <w:rPr>
          <w:b/>
        </w:rPr>
        <w:t>Catford</w:t>
      </w:r>
      <w:proofErr w:type="spellEnd"/>
      <w:r w:rsidRPr="00E36890">
        <w:rPr>
          <w:b/>
        </w:rPr>
        <w:t xml:space="preserve"> et al is the only paper that did something remotely similar for hydrology. </w:t>
      </w:r>
      <w:r>
        <w:rPr>
          <w:b/>
        </w:rPr>
        <w:t>WEEDS</w:t>
      </w:r>
    </w:p>
    <w:p w:rsidR="00540D0C" w:rsidRPr="00E36890" w:rsidRDefault="00540D0C" w:rsidP="00540D0C">
      <w:pPr>
        <w:spacing w:line="360" w:lineRule="auto"/>
        <w:rPr>
          <w:b/>
        </w:rPr>
      </w:pPr>
      <w:bookmarkStart w:id="0" w:name="_GoBack"/>
      <w:bookmarkEnd w:id="0"/>
    </w:p>
    <w:p w:rsidR="00540D0C" w:rsidRDefault="00540D0C" w:rsidP="00540D0C">
      <w:pPr>
        <w:spacing w:line="360" w:lineRule="auto"/>
      </w:pPr>
    </w:p>
    <w:p w:rsidR="00540D0C" w:rsidRDefault="00540D0C" w:rsidP="00540D0C">
      <w:pPr>
        <w:spacing w:line="360" w:lineRule="auto"/>
      </w:pPr>
      <w:r>
        <w:t xml:space="preserve">44 - </w:t>
      </w:r>
      <w:proofErr w:type="spellStart"/>
      <w:r w:rsidRPr="00C820B5">
        <w:t>Macfadyena.unguiscati</w:t>
      </w:r>
      <w:proofErr w:type="spellEnd"/>
      <w:r>
        <w:t xml:space="preserve">, lantana </w:t>
      </w:r>
      <w:proofErr w:type="spellStart"/>
      <w:r>
        <w:t>camara</w:t>
      </w:r>
      <w:proofErr w:type="spellEnd"/>
      <w:r>
        <w:t xml:space="preserve"> (ex = 0.418, </w:t>
      </w:r>
      <w:proofErr w:type="spellStart"/>
      <w:r>
        <w:t>FRic.SES</w:t>
      </w:r>
      <w:proofErr w:type="spellEnd"/>
      <w:r>
        <w:t xml:space="preserve"> = -0.191, </w:t>
      </w:r>
      <w:proofErr w:type="spellStart"/>
      <w:r>
        <w:t>FDis.SES</w:t>
      </w:r>
      <w:proofErr w:type="spellEnd"/>
      <w:r>
        <w:t xml:space="preserve"> = 1.012)</w:t>
      </w:r>
    </w:p>
    <w:p w:rsidR="00540D0C" w:rsidRDefault="00540D0C" w:rsidP="00540D0C">
      <w:pPr>
        <w:spacing w:line="360" w:lineRule="auto"/>
      </w:pPr>
      <w:r>
        <w:t xml:space="preserve">21 - </w:t>
      </w:r>
      <w:proofErr w:type="spellStart"/>
      <w:r w:rsidRPr="00C820B5">
        <w:t>Macfadyena.unguiscati</w:t>
      </w:r>
      <w:proofErr w:type="spellEnd"/>
      <w:r>
        <w:t xml:space="preserve"> (ex = 0.476, </w:t>
      </w:r>
      <w:proofErr w:type="spellStart"/>
      <w:r>
        <w:t>FRic.SES</w:t>
      </w:r>
      <w:proofErr w:type="spellEnd"/>
      <w:r>
        <w:t xml:space="preserve"> = -0.106, </w:t>
      </w:r>
      <w:proofErr w:type="spellStart"/>
      <w:r>
        <w:t>FDis.SES</w:t>
      </w:r>
      <w:proofErr w:type="spellEnd"/>
      <w:r>
        <w:t xml:space="preserve"> = 1.022)</w:t>
      </w:r>
    </w:p>
    <w:p w:rsidR="00540D0C" w:rsidRDefault="00540D0C" w:rsidP="00540D0C">
      <w:pPr>
        <w:spacing w:line="360" w:lineRule="auto"/>
      </w:pPr>
      <w:r>
        <w:t xml:space="preserve">31 – </w:t>
      </w:r>
      <w:proofErr w:type="spellStart"/>
      <w:r w:rsidRPr="00C820B5">
        <w:t>Macfadyena.unguiscati</w:t>
      </w:r>
      <w:proofErr w:type="spellEnd"/>
      <w:r>
        <w:t xml:space="preserve">, lantana </w:t>
      </w:r>
      <w:proofErr w:type="spellStart"/>
      <w:r>
        <w:t>camara</w:t>
      </w:r>
      <w:proofErr w:type="spellEnd"/>
      <w:r>
        <w:t xml:space="preserve"> (ex = 0.582, </w:t>
      </w:r>
      <w:proofErr w:type="spellStart"/>
      <w:r>
        <w:t>FRic.SES</w:t>
      </w:r>
      <w:proofErr w:type="spellEnd"/>
      <w:r>
        <w:t xml:space="preserve"> = -0.134, </w:t>
      </w:r>
      <w:proofErr w:type="spellStart"/>
      <w:r>
        <w:t>FDis.SES</w:t>
      </w:r>
      <w:proofErr w:type="spellEnd"/>
      <w:r>
        <w:t xml:space="preserve"> = 1.328)</w:t>
      </w:r>
    </w:p>
    <w:p w:rsidR="00540D0C" w:rsidRPr="00C820B5" w:rsidRDefault="00540D0C" w:rsidP="00540D0C">
      <w:pPr>
        <w:spacing w:line="360" w:lineRule="auto"/>
      </w:pPr>
      <w:r>
        <w:t xml:space="preserve">32 - </w:t>
      </w:r>
      <w:proofErr w:type="spellStart"/>
      <w:r w:rsidRPr="00C820B5">
        <w:t>Macfadyena.unguiscati</w:t>
      </w:r>
      <w:proofErr w:type="spellEnd"/>
      <w:r>
        <w:t xml:space="preserve">, </w:t>
      </w:r>
      <w:proofErr w:type="spellStart"/>
      <w:r>
        <w:t>leucaena</w:t>
      </w:r>
      <w:proofErr w:type="spellEnd"/>
      <w:r>
        <w:t xml:space="preserve"> (ex = 0.863, </w:t>
      </w:r>
      <w:proofErr w:type="spellStart"/>
      <w:r>
        <w:t>FRic.SES</w:t>
      </w:r>
      <w:proofErr w:type="spellEnd"/>
      <w:r>
        <w:t xml:space="preserve"> = -0.326, </w:t>
      </w:r>
      <w:proofErr w:type="spellStart"/>
      <w:r>
        <w:t>FDis.SES</w:t>
      </w:r>
      <w:proofErr w:type="spellEnd"/>
      <w:r>
        <w:t xml:space="preserve"> = 0.416)</w:t>
      </w:r>
    </w:p>
    <w:p w:rsidR="0010623F" w:rsidRDefault="0010623F"/>
    <w:sectPr w:rsidR="00106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0C"/>
    <w:rsid w:val="0010623F"/>
    <w:rsid w:val="00540D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044B8-FD69-4612-9067-743DE469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cp:revision>
  <dcterms:created xsi:type="dcterms:W3CDTF">2015-07-31T05:07:00Z</dcterms:created>
  <dcterms:modified xsi:type="dcterms:W3CDTF">2015-07-31T05:07:00Z</dcterms:modified>
</cp:coreProperties>
</file>