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99199" w14:textId="77777777" w:rsidR="00C434EE" w:rsidRDefault="00C434EE" w:rsidP="00966029">
      <w:pPr>
        <w:spacing w:line="360" w:lineRule="auto"/>
      </w:pPr>
      <w:r>
        <w:t>METHODS</w:t>
      </w:r>
    </w:p>
    <w:p w14:paraId="2643557A" w14:textId="47B48881" w:rsidR="00C434EE" w:rsidRDefault="00C434EE" w:rsidP="00966029">
      <w:pPr>
        <w:spacing w:line="360" w:lineRule="auto"/>
      </w:pPr>
      <w:r>
        <w:t xml:space="preserve">The current study is </w:t>
      </w:r>
      <w:r w:rsidR="000920D8">
        <w:t>an extension</w:t>
      </w:r>
      <w:r>
        <w:t xml:space="preserve"> of a previous larger study </w:t>
      </w:r>
      <w:r w:rsidR="000920D8">
        <w:fldChar w:fldCharType="begin" w:fldLock="1"/>
      </w:r>
      <w:r w:rsidR="00326571">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920D8">
        <w:fldChar w:fldCharType="separate"/>
      </w:r>
      <w:r w:rsidR="00326571" w:rsidRPr="00326571">
        <w:rPr>
          <w:noProof/>
        </w:rPr>
        <w:t xml:space="preserve">(Arthington </w:t>
      </w:r>
      <w:r w:rsidR="00326571" w:rsidRPr="00326571">
        <w:rPr>
          <w:i/>
          <w:noProof/>
        </w:rPr>
        <w:t>et al.</w:t>
      </w:r>
      <w:r w:rsidR="00326571" w:rsidRPr="00326571">
        <w:rPr>
          <w:noProof/>
        </w:rPr>
        <w:t xml:space="preserve"> 2012)</w:t>
      </w:r>
      <w:r w:rsidR="000920D8">
        <w:fldChar w:fldCharType="end"/>
      </w:r>
      <w:r w:rsidR="000920D8">
        <w:t xml:space="preserve"> </w:t>
      </w:r>
      <w:r>
        <w:t xml:space="preserve">conducted to test the ELoHA framework </w:t>
      </w:r>
      <w:r>
        <w:fldChar w:fldCharType="begin" w:fldLock="1"/>
      </w:r>
      <w:r w:rsidR="00326571">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fldChar w:fldCharType="separate"/>
      </w:r>
      <w:r w:rsidR="00326571" w:rsidRPr="00326571">
        <w:rPr>
          <w:noProof/>
        </w:rPr>
        <w:t xml:space="preserve">(Poff </w:t>
      </w:r>
      <w:r w:rsidR="00326571" w:rsidRPr="00326571">
        <w:rPr>
          <w:i/>
          <w:noProof/>
        </w:rPr>
        <w:t>et al.</w:t>
      </w:r>
      <w:r w:rsidR="00326571" w:rsidRPr="00326571">
        <w:rPr>
          <w:noProof/>
        </w:rPr>
        <w:t xml:space="preserve"> 2010)</w:t>
      </w:r>
      <w:r>
        <w:fldChar w:fldCharType="end"/>
      </w:r>
      <w:r w:rsidR="000920D8">
        <w:t>,</w:t>
      </w:r>
      <w:r>
        <w:t xml:space="preserve"> and to determine hydro-ecological relationships to inform environmental flow management in south-east Queensland. Field data was collected between 2008 – 2010</w:t>
      </w:r>
      <w:r w:rsidR="000920D8">
        <w:t xml:space="preserve">; the trait dataset was assembled and analyses described </w:t>
      </w:r>
      <w:r w:rsidR="00326571">
        <w:t>here</w:t>
      </w:r>
      <w:r w:rsidR="000920D8">
        <w:t xml:space="preserve"> were performed in 2015. The report describing the original study provides extensive detail </w:t>
      </w:r>
      <w:r w:rsidR="007D63D2">
        <w:t xml:space="preserve">not included here </w:t>
      </w:r>
      <w:r w:rsidR="000920D8">
        <w:fldChar w:fldCharType="begin" w:fldLock="1"/>
      </w:r>
      <w:r w:rsidR="00326571">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920D8">
        <w:fldChar w:fldCharType="separate"/>
      </w:r>
      <w:r w:rsidR="00326571" w:rsidRPr="00326571">
        <w:rPr>
          <w:noProof/>
        </w:rPr>
        <w:t xml:space="preserve">(Arthington </w:t>
      </w:r>
      <w:r w:rsidR="00326571" w:rsidRPr="00326571">
        <w:rPr>
          <w:i/>
          <w:noProof/>
        </w:rPr>
        <w:t>et al.</w:t>
      </w:r>
      <w:r w:rsidR="00326571" w:rsidRPr="00326571">
        <w:rPr>
          <w:noProof/>
        </w:rPr>
        <w:t xml:space="preserve"> 2012)</w:t>
      </w:r>
      <w:r w:rsidR="000920D8">
        <w:fldChar w:fldCharType="end"/>
      </w:r>
      <w:r w:rsidR="000920D8">
        <w:t>.</w:t>
      </w:r>
      <w:r w:rsidR="00F900DF">
        <w:t xml:space="preserve"> Except where specified, all statistical analyses were performed using the R statistical programming environment </w:t>
      </w:r>
      <w:r w:rsidR="00F900DF">
        <w:fldChar w:fldCharType="begin" w:fldLock="1"/>
      </w:r>
      <w:r w:rsidR="0032657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F900DF">
        <w:fldChar w:fldCharType="separate"/>
      </w:r>
      <w:r w:rsidR="00326571" w:rsidRPr="00326571">
        <w:rPr>
          <w:noProof/>
        </w:rPr>
        <w:t>(R Core Team 2013)</w:t>
      </w:r>
      <w:r w:rsidR="00F900DF">
        <w:fldChar w:fldCharType="end"/>
      </w:r>
    </w:p>
    <w:p w14:paraId="0032FA52" w14:textId="77777777" w:rsidR="0031081F" w:rsidRPr="00821E38" w:rsidRDefault="00FE0500" w:rsidP="00966029">
      <w:pPr>
        <w:spacing w:line="360" w:lineRule="auto"/>
        <w:rPr>
          <w:i/>
        </w:rPr>
      </w:pPr>
      <w:r w:rsidRPr="00821E38">
        <w:rPr>
          <w:i/>
        </w:rPr>
        <w:t>Study area</w:t>
      </w:r>
    </w:p>
    <w:p w14:paraId="3EB9DCD4" w14:textId="5F077C9E" w:rsidR="00FE0500" w:rsidRDefault="00FE0500" w:rsidP="00966029">
      <w:pPr>
        <w:spacing w:line="360" w:lineRule="auto"/>
      </w:pPr>
      <w:r>
        <w:t xml:space="preserve">The study was conducted across seven catchments within coastal south-east Queensland, Australia. </w:t>
      </w:r>
      <w:r w:rsidR="001443E7">
        <w:t xml:space="preserve">Sites were located between </w:t>
      </w:r>
      <w:r w:rsidR="00446D8B" w:rsidRPr="00446D8B">
        <w:t>-25.82</w:t>
      </w:r>
      <w:r w:rsidR="001443E7" w:rsidRPr="00446D8B">
        <w:t xml:space="preserve"> and </w:t>
      </w:r>
      <w:r w:rsidR="00446D8B" w:rsidRPr="00446D8B">
        <w:t>-28.23</w:t>
      </w:r>
      <w:r w:rsidR="001443E7" w:rsidRPr="00446D8B">
        <w:t xml:space="preserve"> degrees latitude</w:t>
      </w:r>
      <w:r w:rsidR="00F1058C" w:rsidRPr="00446D8B">
        <w:t xml:space="preserve"> and </w:t>
      </w:r>
      <w:r w:rsidR="00446D8B" w:rsidRPr="00446D8B">
        <w:t>152.35</w:t>
      </w:r>
      <w:r w:rsidR="00F1058C" w:rsidRPr="00446D8B">
        <w:t xml:space="preserve"> and </w:t>
      </w:r>
      <w:r w:rsidR="00446D8B" w:rsidRPr="00446D8B">
        <w:t>153.42</w:t>
      </w:r>
      <w:r w:rsidR="00F1058C" w:rsidRPr="00446D8B">
        <w:t xml:space="preserve"> degrees longitude</w:t>
      </w:r>
      <w:r w:rsidR="00F1058C">
        <w:t xml:space="preserve">. </w:t>
      </w:r>
      <w:r w:rsidR="005259FC">
        <w:t xml:space="preserve">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w:t>
      </w:r>
      <w:r w:rsidR="009A5F3F">
        <w:t>T</w:t>
      </w:r>
      <w:r w:rsidR="001443E7">
        <w:t>his</w:t>
      </w:r>
      <w:r w:rsidR="0007200B">
        <w:t xml:space="preserve"> study</w:t>
      </w:r>
      <w:r w:rsidR="001443E7">
        <w:t xml:space="preserve"> </w:t>
      </w:r>
      <w:r w:rsidR="00662F0C">
        <w:t>area</w:t>
      </w:r>
      <w:r w:rsidR="001443E7">
        <w:t xml:space="preserve"> </w:t>
      </w:r>
      <w:r w:rsidR="0007200B">
        <w:t>has a</w:t>
      </w:r>
      <w:r w:rsidR="001443E7">
        <w:t xml:space="preserve"> subtropical</w:t>
      </w:r>
      <w:r w:rsidR="0007200B">
        <w:t xml:space="preserve"> climate</w:t>
      </w:r>
      <w:r w:rsidR="001443E7">
        <w:t xml:space="preserve">, and is influenced by both tropical and temperate weather patterns. </w:t>
      </w:r>
      <w:r w:rsidR="00F1058C">
        <w:t xml:space="preserve">Little variation in temperature is present throughout the region, </w:t>
      </w:r>
      <w:r w:rsidR="00446D8B">
        <w:t>although</w:t>
      </w:r>
      <w:r w:rsidR="00F1058C">
        <w:t xml:space="preserve"> mean annual rainfall </w:t>
      </w:r>
      <w:r w:rsidR="00446D8B">
        <w:t>varies considerably,</w:t>
      </w:r>
      <w:r w:rsidR="00F1058C">
        <w:t xml:space="preserve"> from 800 mm in the west to 1400 mm in the eastern coastal catchments.</w:t>
      </w:r>
      <w:r w:rsidR="0007200B">
        <w:t xml:space="preserve"> T</w:t>
      </w:r>
      <w:r w:rsidR="005259FC">
        <w:t>he majority of rainfall is associated with summer thunderstorms between January and March,</w:t>
      </w:r>
      <w:r w:rsidR="0007200B">
        <w:t xml:space="preserve"> although</w:t>
      </w:r>
      <w:r w:rsidR="005259FC">
        <w:t xml:space="preserve"> </w:t>
      </w:r>
      <w:r w:rsidR="0007200B">
        <w:t>southerly</w:t>
      </w:r>
      <w:r w:rsidR="005259FC">
        <w:t xml:space="preserve"> </w:t>
      </w:r>
      <w:r w:rsidR="0007200B">
        <w:t>weather</w:t>
      </w:r>
      <w:r w:rsidR="005259FC">
        <w:t xml:space="preserve"> systems during autumn and winter are also responsible for a substantial amount of precipitation. </w:t>
      </w:r>
      <w:r w:rsidR="0007200B">
        <w:t>Precipitation patterns are associated with high year-on-year variability</w:t>
      </w:r>
      <w:r w:rsidR="00662F0C">
        <w:t>, and</w:t>
      </w:r>
      <w:r w:rsidR="0007200B">
        <w:t xml:space="preserve"> river discharge regimes in the region are </w:t>
      </w:r>
      <w:r w:rsidR="00662F0C">
        <w:t>typically</w:t>
      </w:r>
      <w:r w:rsidR="0007200B">
        <w:t xml:space="preserve"> unpredictable, with high coefficients of variation in mean daily flow.</w:t>
      </w:r>
      <w:r w:rsidR="00662F0C">
        <w:t xml:space="preserve"> This said, substantial hydrological variability is represented across coastal south-east Queensland.</w:t>
      </w:r>
      <w:r w:rsidR="0007200B">
        <w:t xml:space="preserve"> </w:t>
      </w:r>
      <w:r w:rsidR="00662F0C">
        <w:t xml:space="preserve">Four of the twelve hydrological classes identified on the Australian continent by Kennard et al. (2010) are present in the area: </w:t>
      </w:r>
      <w:r w:rsidR="0015530F">
        <w:t>perennial</w:t>
      </w:r>
      <w:r w:rsidR="00D804BB">
        <w:t>,</w:t>
      </w:r>
      <w:r w:rsidR="0015530F">
        <w:t xml:space="preserve"> stable baseflow</w:t>
      </w:r>
      <w:r w:rsidR="00D804BB">
        <w:t>;</w:t>
      </w:r>
      <w:r w:rsidR="0015530F">
        <w:t xml:space="preserve"> perennial</w:t>
      </w:r>
      <w:r w:rsidR="00D804BB">
        <w:t>,</w:t>
      </w:r>
      <w:r w:rsidR="0015530F">
        <w:t xml:space="preserve"> </w:t>
      </w:r>
      <w:r w:rsidR="00D804BB">
        <w:t>unpredictable baseflow; intermittent, unpredictable; and highly intermittent, un</w:t>
      </w:r>
      <w:r w:rsidR="00AE3044">
        <w:t>predictable summer dominated.</w:t>
      </w:r>
    </w:p>
    <w:p w14:paraId="7B597DF7" w14:textId="508B9470" w:rsidR="00821E38" w:rsidRDefault="009A5F3F" w:rsidP="00966029">
      <w:pPr>
        <w:spacing w:line="360" w:lineRule="auto"/>
      </w:pPr>
      <w:r>
        <w:t>River flow regimes throughout the study region are modified by dams, weirs</w:t>
      </w:r>
      <w:r w:rsidR="002F5BB7">
        <w:t>, intra- and inter-basin</w:t>
      </w:r>
      <w:r>
        <w:t xml:space="preserve"> </w:t>
      </w:r>
      <w:r w:rsidR="002F5BB7">
        <w:t xml:space="preserve">water transfer, </w:t>
      </w:r>
      <w:r>
        <w:t xml:space="preserve">and unsupplemented water extraction. The majority of </w:t>
      </w:r>
      <w:r w:rsidR="002F5BB7">
        <w:t>the</w:t>
      </w:r>
      <w:r w:rsidR="00DF0A53">
        <w:t xml:space="preserve"> </w:t>
      </w:r>
      <w:r>
        <w:t xml:space="preserve">dams were constructed </w:t>
      </w:r>
      <w:r w:rsidR="00DF0A53">
        <w:t>by the mid</w:t>
      </w:r>
      <w:r>
        <w:t xml:space="preserve"> 1970s </w:t>
      </w:r>
      <w:r w:rsidR="002F5BB7">
        <w:t xml:space="preserve">and </w:t>
      </w:r>
      <w:r w:rsidR="00DF0A53">
        <w:t>have a maximum capacity of less than 50,000 ML. Two substantially larger dams (Wivenhoe Dam – 1,150,000 ML and Hinze Dam – 165,000 ML) in the area were constructed during the 1980s.</w:t>
      </w:r>
      <w:r w:rsidR="00B74F11">
        <w:t xml:space="preserve"> </w:t>
      </w:r>
      <w:r w:rsidR="00EC6F16">
        <w:fldChar w:fldCharType="begin" w:fldLock="1"/>
      </w:r>
      <w:r w:rsidR="00326571">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"manualFormatting" : "Mackay et al. (2014)", "plainTextFormattedCitation" : "(Mackay, Arthington &amp; James 2014)", "previouslyFormattedCitation" : "(Mackay, Arthington &amp; James 2014)" }, "properties" : { "noteIndex" : 0 }, "schema" : "https://github.com/citation-style-language/schema/raw/master/csl-citation.json" }</w:instrText>
      </w:r>
      <w:r w:rsidR="00EC6F16">
        <w:fldChar w:fldCharType="separate"/>
      </w:r>
      <w:r w:rsidR="00EC6F16" w:rsidRPr="00EC6F16">
        <w:rPr>
          <w:noProof/>
        </w:rPr>
        <w:t>Mackay</w:t>
      </w:r>
      <w:r w:rsidR="00EC6F16">
        <w:rPr>
          <w:noProof/>
        </w:rPr>
        <w:t xml:space="preserve"> </w:t>
      </w:r>
      <w:r w:rsidR="00EC6F16" w:rsidRPr="00EC6F16">
        <w:rPr>
          <w:i/>
          <w:noProof/>
        </w:rPr>
        <w:t xml:space="preserve">et al. </w:t>
      </w:r>
      <w:r w:rsidR="00EC6F16">
        <w:rPr>
          <w:noProof/>
        </w:rPr>
        <w:t>(</w:t>
      </w:r>
      <w:r w:rsidR="00EC6F16" w:rsidRPr="00EC6F16">
        <w:rPr>
          <w:noProof/>
        </w:rPr>
        <w:t>2014)</w:t>
      </w:r>
      <w:r w:rsidR="00EC6F16">
        <w:fldChar w:fldCharType="end"/>
      </w:r>
      <w:r w:rsidR="00EC6F16">
        <w:t xml:space="preserve"> compared historic daily discharge data with modelled predevelopment discharge data and found that f</w:t>
      </w:r>
      <w:r w:rsidR="00CA111D">
        <w:t>low modification</w:t>
      </w:r>
      <w:r w:rsidR="00B74F11">
        <w:t xml:space="preserve"> by structures and diversions</w:t>
      </w:r>
      <w:r w:rsidR="00EC6F16">
        <w:t xml:space="preserve"> in south-east Queensland</w:t>
      </w:r>
      <w:r w:rsidR="00B74F11">
        <w:t xml:space="preserve"> is</w:t>
      </w:r>
      <w:r w:rsidR="00CA111D">
        <w:t xml:space="preserve"> diverse</w:t>
      </w:r>
      <w:r w:rsidR="00EC6F16">
        <w:t xml:space="preserve"> and system specific</w:t>
      </w:r>
      <w:r w:rsidR="00CA111D">
        <w:t xml:space="preserve">. </w:t>
      </w:r>
      <w:r w:rsidR="0081574E">
        <w:t>Reduce</w:t>
      </w:r>
      <w:r w:rsidR="00581222">
        <w:t>d</w:t>
      </w:r>
      <w:r w:rsidR="00CA111D">
        <w:t xml:space="preserve"> flow </w:t>
      </w:r>
      <w:r w:rsidR="0081574E">
        <w:t>variability</w:t>
      </w:r>
      <w:r w:rsidR="00CA111D">
        <w:t xml:space="preserve"> </w:t>
      </w:r>
      <w:r w:rsidR="0081574E">
        <w:t xml:space="preserve">is prevalent, and </w:t>
      </w:r>
      <w:r w:rsidR="0081574E">
        <w:lastRenderedPageBreak/>
        <w:t>while</w:t>
      </w:r>
      <w:r w:rsidR="00CA111D">
        <w:t xml:space="preserve"> </w:t>
      </w:r>
      <w:r w:rsidR="0081574E">
        <w:t>i</w:t>
      </w:r>
      <w:r w:rsidR="00CA111D">
        <w:t xml:space="preserve">ncreased perenniality in drier systems and </w:t>
      </w:r>
      <w:r w:rsidR="0081574E">
        <w:t>altered</w:t>
      </w:r>
      <w:r w:rsidR="00CA111D">
        <w:t xml:space="preserve"> </w:t>
      </w:r>
      <w:r w:rsidR="0081574E">
        <w:t xml:space="preserve">low spell duration </w:t>
      </w:r>
      <w:r w:rsidR="00CA111D">
        <w:t xml:space="preserve">are also common, few other generalisations can be made about the effects of regulation on streamflows in the region </w:t>
      </w:r>
      <w:r w:rsidR="00CA111D">
        <w:fldChar w:fldCharType="begin" w:fldLock="1"/>
      </w:r>
      <w:r w:rsidR="00326571">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CA111D">
        <w:fldChar w:fldCharType="separate"/>
      </w:r>
      <w:r w:rsidR="00326571" w:rsidRPr="00326571">
        <w:rPr>
          <w:noProof/>
        </w:rPr>
        <w:t xml:space="preserve">(Mackay </w:t>
      </w:r>
      <w:r w:rsidR="00326571" w:rsidRPr="00326571">
        <w:rPr>
          <w:i/>
          <w:noProof/>
        </w:rPr>
        <w:t>et al.</w:t>
      </w:r>
      <w:r w:rsidR="00326571" w:rsidRPr="00326571">
        <w:rPr>
          <w:noProof/>
        </w:rPr>
        <w:t xml:space="preserve"> 2014)</w:t>
      </w:r>
      <w:r w:rsidR="00CA111D">
        <w:fldChar w:fldCharType="end"/>
      </w:r>
      <w:r w:rsidR="00B74F11">
        <w:t xml:space="preserve">.   </w:t>
      </w:r>
    </w:p>
    <w:p w14:paraId="334269DD" w14:textId="77777777" w:rsidR="00821E38" w:rsidRPr="00821E38" w:rsidRDefault="00821E38" w:rsidP="00966029">
      <w:pPr>
        <w:spacing w:line="360" w:lineRule="auto"/>
      </w:pPr>
      <w:r w:rsidRPr="00821E38">
        <w:rPr>
          <w:i/>
        </w:rPr>
        <w:t>Site selection</w:t>
      </w:r>
      <w:r>
        <w:rPr>
          <w:i/>
        </w:rPr>
        <w:t xml:space="preserve"> and vegetation sampling</w:t>
      </w:r>
    </w:p>
    <w:p w14:paraId="15E403F3" w14:textId="3F13D035" w:rsidR="00821E38" w:rsidRDefault="00B3438A" w:rsidP="00966029">
      <w:pPr>
        <w:spacing w:line="360" w:lineRule="auto"/>
      </w:pPr>
      <w:r>
        <w:t xml:space="preserve">Riparian vegetation was surveyed between August and October in 2008, 2009 and 2010 at </w:t>
      </w:r>
      <w:r w:rsidR="00446D8B">
        <w:t>42</w:t>
      </w:r>
      <w:r>
        <w:t xml:space="preserve"> </w:t>
      </w:r>
      <w:r w:rsidR="00821E38">
        <w:t xml:space="preserve">sites. </w:t>
      </w:r>
      <w:r w:rsidRPr="00446D8B">
        <w:t xml:space="preserve">Twenty </w:t>
      </w:r>
      <w:r>
        <w:t>river reaches</w:t>
      </w:r>
      <w:r w:rsidR="00821E38">
        <w:t xml:space="preserve"> were selected to sample the range of flow regime classes determined by a regional classification of flow regimes </w:t>
      </w:r>
      <w:r w:rsidR="00821E38">
        <w:fldChar w:fldCharType="begin" w:fldLock="1"/>
      </w:r>
      <w:r w:rsidR="00326571">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00821E38">
        <w:fldChar w:fldCharType="separate"/>
      </w:r>
      <w:r w:rsidR="00821E38" w:rsidRPr="00821E38">
        <w:rPr>
          <w:noProof/>
        </w:rPr>
        <w:t>(</w:t>
      </w:r>
      <w:r w:rsidR="00821E38">
        <w:rPr>
          <w:noProof/>
        </w:rPr>
        <w:t xml:space="preserve">see </w:t>
      </w:r>
      <w:r w:rsidR="00821E38" w:rsidRPr="00821E38">
        <w:rPr>
          <w:noProof/>
        </w:rPr>
        <w:t>Mackay et al., 2014)</w:t>
      </w:r>
      <w:r w:rsidR="00821E38">
        <w:fldChar w:fldCharType="end"/>
      </w:r>
      <w:r w:rsidR="00821E38">
        <w:t xml:space="preserve">. Proximity to flow monitoring gauges with an associated recording history of &gt;25 years was of primary importance. </w:t>
      </w:r>
      <w:r>
        <w:t xml:space="preserve">Duplicate surveys were made along each river reach </w:t>
      </w:r>
      <w:r w:rsidR="008371A0">
        <w:t xml:space="preserve">as close as possible to the flow monitoring station, but </w:t>
      </w:r>
      <w:r>
        <w:t xml:space="preserve">separated by </w:t>
      </w:r>
      <w:r w:rsidR="008371A0">
        <w:t>at least</w:t>
      </w:r>
      <w:r>
        <w:t xml:space="preserve"> 2 km to </w:t>
      </w:r>
      <w:r w:rsidR="008371A0">
        <w:t>ensure</w:t>
      </w:r>
      <w:r>
        <w:t xml:space="preserve"> independence</w:t>
      </w:r>
      <w:r w:rsidR="008371A0">
        <w:t>.</w:t>
      </w:r>
      <w:r w:rsidR="00446D8B">
        <w:t xml:space="preserve"> </w:t>
      </w:r>
      <w:r w:rsidR="008371A0">
        <w:t xml:space="preserve">Sampling sites required </w:t>
      </w:r>
      <w:r w:rsidR="00EC1945">
        <w:t xml:space="preserve">100 continuous metres of </w:t>
      </w:r>
      <w:r w:rsidR="008371A0">
        <w:t xml:space="preserve">relatively intact riparian vegetation, which was not subjected to regular burning and had not been cleared in at least 20 – 30 years. Ideally sites were not currently grazed, although this restriction </w:t>
      </w:r>
      <w:r w:rsidR="005F6DAF">
        <w:t>was</w:t>
      </w:r>
      <w:r w:rsidR="008371A0">
        <w:t xml:space="preserve"> relaxed somewhat given the extensive pastoral land use throughout the region. </w:t>
      </w:r>
    </w:p>
    <w:p w14:paraId="677851C0" w14:textId="76275997" w:rsidR="005F6DAF" w:rsidRDefault="00EC1945" w:rsidP="00966029">
      <w:pPr>
        <w:spacing w:line="360" w:lineRule="auto"/>
      </w:pPr>
      <w:r>
        <w:t>Three transects were randomly placed at each site, running perpendicular to the river. Additional transects were conducted at three sites (27, 31, 44), where low vegetation densities occurred. Transects extended from the water’s edge to the macrochannel bank, or a maximum of 50 m from the water’s edge. A standard sampling area was not used due to variability in vegetation structure, channel landforms and adjacent land uses. Site sampling areas were typically greater than 400 m</w:t>
      </w:r>
      <w:r w:rsidRPr="00EC1945">
        <w:rPr>
          <w:vertAlign w:val="superscript"/>
        </w:rPr>
        <w:t>2</w:t>
      </w:r>
      <w:r w:rsidR="007E3BFC">
        <w:t xml:space="preserve"> </w:t>
      </w:r>
      <w:r>
        <w:t>but ranged from 260 – 1013 m</w:t>
      </w:r>
      <w:r w:rsidRPr="00EC1945">
        <w:rPr>
          <w:vertAlign w:val="superscript"/>
        </w:rPr>
        <w:t>2</w:t>
      </w:r>
      <w:r>
        <w:t>.</w:t>
      </w:r>
      <w:r w:rsidR="007E3BFC">
        <w:t xml:space="preserve"> All trees, shrubs, ferns rushes, and sedges within a 5 m band centred on the transect line were identified and counted. Species identifications were confirmed by the Queensland Herbarium. </w:t>
      </w:r>
    </w:p>
    <w:p w14:paraId="0DE50FBD" w14:textId="77777777" w:rsidR="007D63D2" w:rsidRDefault="008F5E71" w:rsidP="00966029">
      <w:pPr>
        <w:spacing w:line="360" w:lineRule="auto"/>
        <w:rPr>
          <w:i/>
        </w:rPr>
      </w:pPr>
      <w:r w:rsidRPr="008F5E71">
        <w:rPr>
          <w:i/>
        </w:rPr>
        <w:t>Describing stream hydrology and quantifying flow regulation</w:t>
      </w:r>
    </w:p>
    <w:p w14:paraId="27998919" w14:textId="6F55ED2B" w:rsidR="002C21A0" w:rsidRPr="002C21A0" w:rsidRDefault="00E200A5" w:rsidP="00966029">
      <w:pPr>
        <w:spacing w:line="360" w:lineRule="auto"/>
        <w:rPr>
          <w:color w:val="92D050"/>
        </w:rPr>
      </w:pPr>
      <w:r>
        <w:t>Daily discharge data for each reach were obtained from Queensland DERM (). Thirty five year time series spanning 1975 – 2009 were obtained where possible.</w:t>
      </w:r>
      <w:r w:rsidR="004F1E0A">
        <w:t xml:space="preserve"> Missing data were infilled </w:t>
      </w:r>
      <w:r w:rsidR="00F5226D">
        <w:t xml:space="preserve">using the Timer Series Manager module in River Analysis Package </w:t>
      </w:r>
      <w:r w:rsidR="00F5226D">
        <w:fldChar w:fldCharType="begin" w:fldLock="1"/>
      </w:r>
      <w:r w:rsidR="00326571">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F5226D">
        <w:fldChar w:fldCharType="separate"/>
      </w:r>
      <w:r w:rsidR="00326571" w:rsidRPr="00326571">
        <w:rPr>
          <w:noProof/>
        </w:rPr>
        <w:t>(Marsh, Stewardson &amp; Kennard 2003)</w:t>
      </w:r>
      <w:r w:rsidR="00F5226D">
        <w:fldChar w:fldCharType="end"/>
      </w:r>
      <w:r w:rsidR="00F5226D">
        <w:t>, using</w:t>
      </w:r>
      <w:r w:rsidR="004F1E0A">
        <w:t xml:space="preserve">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was truncated to exclude the periods where data was missing. The shortest remaining period (34 days) was in</w:t>
      </w:r>
      <w:r w:rsidR="00F5226D">
        <w:t xml:space="preserve">filled by linear interpolation. </w:t>
      </w:r>
      <w:r w:rsidR="002C21A0" w:rsidRPr="00446D8B">
        <w:t xml:space="preserve">Flow data for </w:t>
      </w:r>
      <w:r w:rsidR="00446D8B">
        <w:t>one site (</w:t>
      </w:r>
      <w:r w:rsidR="002C21A0" w:rsidRPr="00446D8B">
        <w:t>Obi Obi Creek at Kidaman</w:t>
      </w:r>
      <w:r w:rsidR="00446D8B">
        <w:t>)</w:t>
      </w:r>
      <w:r w:rsidR="002C21A0" w:rsidRPr="00446D8B">
        <w:t xml:space="preserve"> was obtained from Water Quality Accounting (Queensland DERM) as modelled gauge data derived from a calibration model for the Mary River catchment.</w:t>
      </w:r>
    </w:p>
    <w:p w14:paraId="482D49D7" w14:textId="628C565A" w:rsidR="008F5E71" w:rsidRDefault="00F5226D" w:rsidP="00966029">
      <w:pPr>
        <w:spacing w:line="360" w:lineRule="auto"/>
        <w:rPr>
          <w:color w:val="FF0000"/>
        </w:rPr>
      </w:pPr>
      <w:r>
        <w:lastRenderedPageBreak/>
        <w:t xml:space="preserve">River Analysis Package was used to generate a set of </w:t>
      </w:r>
      <w:r w:rsidR="00446D8B">
        <w:t>18</w:t>
      </w:r>
      <w:r>
        <w:t xml:space="preserve"> ecologically relevant hydrological metrics for each site, describing </w:t>
      </w:r>
      <w:r w:rsidR="00446D8B">
        <w:t xml:space="preserve">mean and interannual variability in </w:t>
      </w:r>
      <w:r w:rsidR="00446D8B" w:rsidRPr="00446D8B">
        <w:t>the frequency, magnitude and duration and seasonal timing of high and low flows conditions</w:t>
      </w:r>
      <w:r w:rsidRPr="00446D8B">
        <w:t xml:space="preserve">. </w:t>
      </w:r>
      <w:r w:rsidRPr="00AD04A5">
        <w:t xml:space="preserve">Table </w:t>
      </w:r>
      <w:r w:rsidR="00AD04A5">
        <w:t>1</w:t>
      </w:r>
      <w:r w:rsidRPr="00446D8B">
        <w:t xml:space="preserve"> provides definitions of these metrics and describes their ecological importance</w:t>
      </w:r>
      <w:r w:rsidR="009A3C1F">
        <w:t xml:space="preserve"> and contribution to environmental heterogeneity</w:t>
      </w:r>
      <w:r w:rsidRPr="00446D8B">
        <w:t xml:space="preserve">. As a number of these metrics </w:t>
      </w:r>
      <w:r w:rsidR="00802D0E" w:rsidRPr="00446D8B">
        <w:t>exhibited</w:t>
      </w:r>
      <w:r w:rsidRPr="00446D8B">
        <w:t xml:space="preserve"> collinearity, we have included a principal components analysis of this data in the </w:t>
      </w:r>
      <w:r w:rsidR="00AD04A5" w:rsidRPr="00AD04A5">
        <w:t>Supporting Information</w:t>
      </w:r>
      <w:r w:rsidR="00C05647">
        <w:t xml:space="preserve"> S1</w:t>
      </w:r>
      <w:r w:rsidRPr="00AD04A5">
        <w:t>.</w:t>
      </w:r>
      <w:r w:rsidRPr="00446D8B">
        <w:t xml:space="preserve"> </w:t>
      </w:r>
      <w:r w:rsidRPr="00446D8B">
        <w:rPr>
          <w:color w:val="000000" w:themeColor="text1"/>
        </w:rPr>
        <w:t>Metrics of flow magnitude which had units ML / day were standardised by mean daily flow to allow for comparison between different river cha</w:t>
      </w:r>
      <w:r w:rsidRPr="00446D8B">
        <w:rPr>
          <w:color w:val="000000" w:themeColor="text1"/>
        </w:rPr>
        <w:softHyphen/>
      </w:r>
      <w:r w:rsidRPr="00446D8B">
        <w:rPr>
          <w:color w:val="000000" w:themeColor="text1"/>
        </w:rPr>
        <w:softHyphen/>
        <w:t>nnel sizes. These metrics therefore represent ratios of flow magnitude to mean daily flow.</w:t>
      </w:r>
    </w:p>
    <w:p w14:paraId="0C769B12" w14:textId="213620C8" w:rsidR="00802D0E" w:rsidRDefault="002C21A0" w:rsidP="00966029">
      <w:pPr>
        <w:spacing w:line="360" w:lineRule="auto"/>
      </w:pPr>
      <w:r w:rsidRPr="00C73E16">
        <w:t>The extent of flow regulation at a given gauge site was characterised by the percentage deviation of each metric from the</w:t>
      </w:r>
      <w:r w:rsidR="00C73E16">
        <w:t xml:space="preserve"> same metric generated using</w:t>
      </w:r>
      <w:r w:rsidRPr="00C73E16">
        <w:t xml:space="preserve"> modelled pre-development flow </w:t>
      </w:r>
      <w:r w:rsidR="00C73E16">
        <w:t>data</w:t>
      </w:r>
      <w:r w:rsidRPr="00C73E16">
        <w:t xml:space="preserve">. </w:t>
      </w:r>
      <w:r w:rsidR="00684B42">
        <w:t>The</w:t>
      </w:r>
      <w:r w:rsidRPr="00C73E16">
        <w:t>s</w:t>
      </w:r>
      <w:r w:rsidR="00684B42">
        <w:t>e</w:t>
      </w:r>
      <w:r w:rsidRPr="00C73E16">
        <w:t xml:space="preserve"> modelled pre-development daily discharge data </w:t>
      </w:r>
      <w:r w:rsidR="00684B42">
        <w:t>were</w:t>
      </w:r>
      <w:r w:rsidRPr="00C73E16">
        <w:t xml:space="preserve"> obtained using a</w:t>
      </w:r>
      <w:r w:rsidRPr="00C73E16">
        <w:rPr>
          <w:rFonts w:hint="eastAsia"/>
        </w:rPr>
        <w:t> generic integrated water quantity and quality simulation model (IQQM)</w:t>
      </w:r>
      <w:r w:rsidR="000A5AEF" w:rsidRPr="00C73E16">
        <w:t xml:space="preserve"> developed for the region</w:t>
      </w:r>
      <w:r w:rsidRPr="00C73E16">
        <w:t xml:space="preserve"> </w:t>
      </w:r>
      <w:r w:rsidRPr="00C73E16">
        <w:fldChar w:fldCharType="begin" w:fldLock="1"/>
      </w:r>
      <w:r w:rsidR="00326571">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C73E16">
        <w:fldChar w:fldCharType="separate"/>
      </w:r>
      <w:r w:rsidR="00326571" w:rsidRPr="00326571">
        <w:rPr>
          <w:noProof/>
        </w:rPr>
        <w:t>(Simons, Podger &amp; Cooke 1996)</w:t>
      </w:r>
      <w:r w:rsidRPr="00C73E16">
        <w:fldChar w:fldCharType="end"/>
      </w:r>
      <w:r w:rsidRPr="00C73E16">
        <w:t xml:space="preserve">. </w:t>
      </w:r>
      <w:r w:rsidR="00C73E16">
        <w:t>IQQM data were available only for the period up to 1999, so</w:t>
      </w:r>
      <w:r w:rsidR="00684B42">
        <w:t xml:space="preserve"> data from the timeframe 1975-1999 were used for comparison. </w:t>
      </w:r>
    </w:p>
    <w:p w14:paraId="4213AD7C" w14:textId="55E61C93" w:rsidR="00160298" w:rsidRPr="00C26C6D" w:rsidRDefault="00160298" w:rsidP="00160298">
      <w:pPr>
        <w:pStyle w:val="Caption"/>
        <w:keepNext/>
        <w:spacing w:line="480" w:lineRule="auto"/>
        <w:rPr>
          <w:color w:val="auto"/>
          <w:sz w:val="22"/>
          <w:szCs w:val="24"/>
        </w:rPr>
      </w:pPr>
      <w:r w:rsidRPr="00C26C6D">
        <w:rPr>
          <w:color w:val="auto"/>
          <w:sz w:val="22"/>
          <w:szCs w:val="24"/>
        </w:rPr>
        <w:t xml:space="preserve">Table </w:t>
      </w:r>
      <w:r w:rsidR="00AD04A5">
        <w:rPr>
          <w:color w:val="auto"/>
          <w:sz w:val="22"/>
          <w:szCs w:val="24"/>
        </w:rPr>
        <w:t>1</w:t>
      </w:r>
      <w:r w:rsidRPr="00C26C6D">
        <w:rPr>
          <w:color w:val="auto"/>
          <w:sz w:val="22"/>
          <w:szCs w:val="24"/>
        </w:rPr>
        <w:t xml:space="preserve">. Hydrological </w:t>
      </w:r>
      <w:r w:rsidR="009A3C1F">
        <w:rPr>
          <w:color w:val="auto"/>
          <w:sz w:val="22"/>
          <w:szCs w:val="24"/>
        </w:rPr>
        <w:t>variables</w:t>
      </w:r>
      <w:r w:rsidRPr="00C26C6D">
        <w:rPr>
          <w:color w:val="auto"/>
          <w:sz w:val="22"/>
          <w:szCs w:val="24"/>
        </w:rPr>
        <w:t xml:space="preserve"> used as metrics of </w:t>
      </w:r>
      <w:r w:rsidR="009A3C1F">
        <w:rPr>
          <w:color w:val="auto"/>
          <w:sz w:val="22"/>
          <w:szCs w:val="24"/>
        </w:rPr>
        <w:t>fluvially induced environmental heterogeneity</w:t>
      </w:r>
      <w:r w:rsidRPr="00C26C6D">
        <w:rPr>
          <w:color w:val="auto"/>
          <w:sz w:val="22"/>
          <w:szCs w:val="24"/>
        </w:rPr>
        <w:t xml:space="preserve"> in the riparian zone</w:t>
      </w:r>
      <w:r>
        <w:rPr>
          <w:color w:val="auto"/>
          <w:sz w:val="22"/>
          <w:szCs w:val="24"/>
        </w:rPr>
        <w:t xml:space="preserve"> (adapted from Lawson et al. 2015b)</w:t>
      </w:r>
      <w:r w:rsidRPr="00C26C6D">
        <w:rPr>
          <w:color w:val="auto"/>
          <w:sz w:val="22"/>
          <w:szCs w:val="24"/>
        </w:rPr>
        <w:t>.</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160298" w:rsidRPr="00C26C6D" w14:paraId="559026BC" w14:textId="77777777" w:rsidTr="00920594">
        <w:tc>
          <w:tcPr>
            <w:tcW w:w="2204" w:type="dxa"/>
            <w:tcBorders>
              <w:top w:val="single" w:sz="4" w:space="0" w:color="auto"/>
              <w:bottom w:val="single" w:sz="4" w:space="0" w:color="auto"/>
              <w:right w:val="single" w:sz="4" w:space="0" w:color="auto"/>
            </w:tcBorders>
          </w:tcPr>
          <w:p w14:paraId="07F33B3A" w14:textId="77777777" w:rsidR="00160298" w:rsidRPr="00C26C6D" w:rsidRDefault="00160298" w:rsidP="00920594">
            <w:pPr>
              <w:spacing w:line="360" w:lineRule="auto"/>
              <w:rPr>
                <w:b/>
                <w:sz w:val="20"/>
                <w:szCs w:val="20"/>
              </w:rPr>
            </w:pPr>
            <w:r w:rsidRPr="00C26C6D">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1933D6FF" w14:textId="77777777" w:rsidR="00160298" w:rsidRPr="00C26C6D" w:rsidRDefault="00160298" w:rsidP="00920594">
            <w:pPr>
              <w:spacing w:line="360" w:lineRule="auto"/>
              <w:rPr>
                <w:b/>
                <w:sz w:val="20"/>
                <w:szCs w:val="20"/>
              </w:rPr>
            </w:pPr>
            <w:r w:rsidRPr="00C26C6D">
              <w:rPr>
                <w:b/>
                <w:sz w:val="20"/>
                <w:szCs w:val="20"/>
              </w:rPr>
              <w:t>Abbreviation</w:t>
            </w:r>
          </w:p>
        </w:tc>
        <w:tc>
          <w:tcPr>
            <w:tcW w:w="1559" w:type="dxa"/>
            <w:tcBorders>
              <w:left w:val="single" w:sz="4" w:space="0" w:color="auto"/>
              <w:bottom w:val="single" w:sz="4" w:space="0" w:color="auto"/>
              <w:right w:val="single" w:sz="4" w:space="0" w:color="auto"/>
            </w:tcBorders>
          </w:tcPr>
          <w:p w14:paraId="74CBAD94" w14:textId="77777777" w:rsidR="00160298" w:rsidRPr="00C26C6D" w:rsidRDefault="00160298" w:rsidP="00920594">
            <w:pPr>
              <w:spacing w:line="360" w:lineRule="auto"/>
              <w:rPr>
                <w:b/>
                <w:sz w:val="20"/>
                <w:szCs w:val="20"/>
              </w:rPr>
            </w:pPr>
            <w:r w:rsidRPr="00C26C6D">
              <w:rPr>
                <w:b/>
                <w:sz w:val="20"/>
                <w:szCs w:val="20"/>
              </w:rPr>
              <w:t>Units</w:t>
            </w:r>
          </w:p>
        </w:tc>
        <w:tc>
          <w:tcPr>
            <w:tcW w:w="3351" w:type="dxa"/>
            <w:tcBorders>
              <w:top w:val="single" w:sz="4" w:space="0" w:color="auto"/>
              <w:left w:val="single" w:sz="4" w:space="0" w:color="auto"/>
              <w:bottom w:val="single" w:sz="4" w:space="0" w:color="auto"/>
            </w:tcBorders>
          </w:tcPr>
          <w:p w14:paraId="44CF08C4" w14:textId="77777777" w:rsidR="00160298" w:rsidRPr="00C26C6D" w:rsidRDefault="00160298" w:rsidP="00920594">
            <w:pPr>
              <w:spacing w:line="360" w:lineRule="auto"/>
              <w:rPr>
                <w:b/>
                <w:sz w:val="20"/>
                <w:szCs w:val="20"/>
              </w:rPr>
            </w:pPr>
            <w:r w:rsidRPr="00C26C6D">
              <w:rPr>
                <w:b/>
                <w:sz w:val="20"/>
                <w:szCs w:val="20"/>
              </w:rPr>
              <w:t>Description</w:t>
            </w:r>
          </w:p>
        </w:tc>
      </w:tr>
      <w:tr w:rsidR="00160298" w:rsidRPr="00C26C6D" w14:paraId="07800D34" w14:textId="77777777" w:rsidTr="00920594">
        <w:tc>
          <w:tcPr>
            <w:tcW w:w="9016" w:type="dxa"/>
            <w:gridSpan w:val="4"/>
            <w:tcBorders>
              <w:top w:val="single" w:sz="4" w:space="0" w:color="auto"/>
              <w:bottom w:val="single" w:sz="4" w:space="0" w:color="auto"/>
            </w:tcBorders>
          </w:tcPr>
          <w:p w14:paraId="162AEAD8" w14:textId="2821335B" w:rsidR="00160298" w:rsidRPr="00C26C6D" w:rsidRDefault="003E68F1" w:rsidP="003E68F1">
            <w:pPr>
              <w:spacing w:line="360" w:lineRule="auto"/>
              <w:rPr>
                <w:i/>
                <w:sz w:val="20"/>
                <w:szCs w:val="20"/>
              </w:rPr>
            </w:pPr>
            <w:r>
              <w:rPr>
                <w:i/>
                <w:sz w:val="20"/>
                <w:szCs w:val="20"/>
              </w:rPr>
              <w:t>F</w:t>
            </w:r>
            <w:r w:rsidR="00160298" w:rsidRPr="00C26C6D">
              <w:rPr>
                <w:i/>
                <w:sz w:val="20"/>
                <w:szCs w:val="20"/>
              </w:rPr>
              <w:t>requency</w:t>
            </w:r>
            <w:r>
              <w:rPr>
                <w:i/>
                <w:sz w:val="20"/>
                <w:szCs w:val="20"/>
              </w:rPr>
              <w:t>,</w:t>
            </w:r>
            <w:r w:rsidR="00160298" w:rsidRPr="00C26C6D">
              <w:rPr>
                <w:i/>
                <w:sz w:val="20"/>
                <w:szCs w:val="20"/>
              </w:rPr>
              <w:t xml:space="preserve"> magnitude </w:t>
            </w:r>
            <w:r>
              <w:rPr>
                <w:i/>
                <w:sz w:val="20"/>
                <w:szCs w:val="20"/>
              </w:rPr>
              <w:t>and duration of floods and dry spells</w:t>
            </w:r>
          </w:p>
        </w:tc>
      </w:tr>
      <w:tr w:rsidR="001E144B" w:rsidRPr="00C26C6D" w14:paraId="6A1C9E76" w14:textId="77777777" w:rsidTr="00453CE4">
        <w:tc>
          <w:tcPr>
            <w:tcW w:w="2204" w:type="dxa"/>
            <w:tcBorders>
              <w:top w:val="single" w:sz="4" w:space="0" w:color="auto"/>
              <w:bottom w:val="nil"/>
              <w:right w:val="single" w:sz="4" w:space="0" w:color="auto"/>
            </w:tcBorders>
          </w:tcPr>
          <w:p w14:paraId="6ACF354A" w14:textId="77777777" w:rsidR="001E144B" w:rsidRDefault="001E144B" w:rsidP="00920594">
            <w:pPr>
              <w:spacing w:line="360" w:lineRule="auto"/>
              <w:rPr>
                <w:sz w:val="20"/>
                <w:szCs w:val="20"/>
              </w:rPr>
            </w:pPr>
            <w:r w:rsidRPr="00C26C6D">
              <w:rPr>
                <w:sz w:val="20"/>
                <w:szCs w:val="20"/>
              </w:rPr>
              <w:t>Mean magnitude of high spells*</w:t>
            </w:r>
          </w:p>
          <w:p w14:paraId="56874839" w14:textId="7DD8FD8D" w:rsidR="001E144B" w:rsidRPr="00C26C6D" w:rsidRDefault="001E144B" w:rsidP="00EA57AB">
            <w:pPr>
              <w:spacing w:line="360" w:lineRule="auto"/>
              <w:rPr>
                <w:sz w:val="20"/>
                <w:szCs w:val="20"/>
              </w:rPr>
            </w:pPr>
            <w:r>
              <w:rPr>
                <w:sz w:val="20"/>
                <w:szCs w:val="20"/>
              </w:rPr>
              <w:t>Mean magnitude of low spells*</w:t>
            </w:r>
          </w:p>
        </w:tc>
        <w:tc>
          <w:tcPr>
            <w:tcW w:w="1902" w:type="dxa"/>
            <w:tcBorders>
              <w:top w:val="single" w:sz="4" w:space="0" w:color="auto"/>
              <w:left w:val="single" w:sz="4" w:space="0" w:color="auto"/>
              <w:bottom w:val="nil"/>
              <w:right w:val="single" w:sz="4" w:space="0" w:color="auto"/>
            </w:tcBorders>
          </w:tcPr>
          <w:p w14:paraId="65E42E91" w14:textId="77777777" w:rsidR="001E144B" w:rsidRDefault="001E144B" w:rsidP="00920594">
            <w:pPr>
              <w:spacing w:line="360" w:lineRule="auto"/>
              <w:rPr>
                <w:sz w:val="20"/>
                <w:szCs w:val="20"/>
              </w:rPr>
            </w:pPr>
            <w:r w:rsidRPr="00C26C6D">
              <w:rPr>
                <w:sz w:val="20"/>
                <w:szCs w:val="20"/>
              </w:rPr>
              <w:t>HSPeak</w:t>
            </w:r>
          </w:p>
          <w:p w14:paraId="7DDB6902" w14:textId="77777777" w:rsidR="001E144B" w:rsidRDefault="001E144B" w:rsidP="00920594">
            <w:pPr>
              <w:spacing w:line="360" w:lineRule="auto"/>
              <w:rPr>
                <w:sz w:val="20"/>
                <w:szCs w:val="20"/>
              </w:rPr>
            </w:pPr>
          </w:p>
          <w:p w14:paraId="1EEAA5B9" w14:textId="655866FD" w:rsidR="001E144B" w:rsidRPr="00C26C6D" w:rsidRDefault="001E144B" w:rsidP="00920594">
            <w:pPr>
              <w:spacing w:line="360" w:lineRule="auto"/>
              <w:rPr>
                <w:sz w:val="20"/>
                <w:szCs w:val="20"/>
              </w:rPr>
            </w:pPr>
            <w:r>
              <w:rPr>
                <w:sz w:val="20"/>
                <w:szCs w:val="20"/>
              </w:rPr>
              <w:t>LSPeak</w:t>
            </w:r>
          </w:p>
        </w:tc>
        <w:tc>
          <w:tcPr>
            <w:tcW w:w="1559" w:type="dxa"/>
            <w:tcBorders>
              <w:top w:val="single" w:sz="4" w:space="0" w:color="auto"/>
              <w:left w:val="single" w:sz="4" w:space="0" w:color="auto"/>
              <w:bottom w:val="nil"/>
              <w:right w:val="single" w:sz="4" w:space="0" w:color="auto"/>
            </w:tcBorders>
          </w:tcPr>
          <w:p w14:paraId="32C1BA7F" w14:textId="4EA1D76E" w:rsidR="001E144B" w:rsidRDefault="001E144B" w:rsidP="00920594">
            <w:pPr>
              <w:spacing w:line="360" w:lineRule="auto"/>
              <w:rPr>
                <w:sz w:val="20"/>
                <w:szCs w:val="20"/>
              </w:rPr>
            </w:pPr>
            <w:r>
              <w:rPr>
                <w:sz w:val="20"/>
                <w:szCs w:val="20"/>
              </w:rPr>
              <w:t>d</w:t>
            </w:r>
            <w:r w:rsidRPr="00C26C6D">
              <w:rPr>
                <w:sz w:val="20"/>
                <w:szCs w:val="20"/>
              </w:rPr>
              <w:t>imensionless</w:t>
            </w:r>
          </w:p>
          <w:p w14:paraId="5A3CFC25" w14:textId="77777777" w:rsidR="001E144B" w:rsidRDefault="001E144B" w:rsidP="00920594">
            <w:pPr>
              <w:spacing w:line="360" w:lineRule="auto"/>
              <w:rPr>
                <w:sz w:val="20"/>
                <w:szCs w:val="20"/>
              </w:rPr>
            </w:pPr>
          </w:p>
          <w:p w14:paraId="2AE47D14" w14:textId="70A1F0AE" w:rsidR="001E144B" w:rsidRPr="00C26C6D" w:rsidRDefault="001E144B" w:rsidP="00920594">
            <w:pPr>
              <w:spacing w:line="360" w:lineRule="auto"/>
              <w:rPr>
                <w:sz w:val="20"/>
                <w:szCs w:val="20"/>
              </w:rPr>
            </w:pPr>
            <w:r>
              <w:rPr>
                <w:sz w:val="20"/>
                <w:szCs w:val="20"/>
              </w:rPr>
              <w:t>dimensionless</w:t>
            </w:r>
          </w:p>
        </w:tc>
        <w:tc>
          <w:tcPr>
            <w:tcW w:w="3351" w:type="dxa"/>
            <w:vMerge w:val="restart"/>
            <w:tcBorders>
              <w:top w:val="single" w:sz="4" w:space="0" w:color="auto"/>
              <w:left w:val="single" w:sz="4" w:space="0" w:color="auto"/>
            </w:tcBorders>
          </w:tcPr>
          <w:p w14:paraId="1A9F3E10" w14:textId="26089711" w:rsidR="001E144B" w:rsidRPr="00C26C6D" w:rsidRDefault="001E144B" w:rsidP="001E144B">
            <w:pPr>
              <w:spacing w:line="360" w:lineRule="auto"/>
              <w:rPr>
                <w:sz w:val="20"/>
                <w:szCs w:val="20"/>
              </w:rPr>
            </w:pPr>
            <w:r w:rsidRPr="00C26C6D">
              <w:rPr>
                <w:sz w:val="20"/>
                <w:szCs w:val="20"/>
              </w:rPr>
              <w:t xml:space="preserve">Together, these metrics characterise </w:t>
            </w:r>
            <w:r>
              <w:rPr>
                <w:sz w:val="20"/>
                <w:szCs w:val="20"/>
              </w:rPr>
              <w:t>the frequency, magnitude and duration of floods and dry spells</w:t>
            </w:r>
            <w:r w:rsidRPr="00C26C6D">
              <w:rPr>
                <w:sz w:val="20"/>
                <w:szCs w:val="20"/>
              </w:rPr>
              <w:t>. High</w:t>
            </w:r>
            <w:r>
              <w:rPr>
                <w:sz w:val="20"/>
                <w:szCs w:val="20"/>
              </w:rPr>
              <w:t xml:space="preserve"> flow</w:t>
            </w:r>
            <w:r w:rsidRPr="00C26C6D">
              <w:rPr>
                <w:sz w:val="20"/>
                <w:szCs w:val="20"/>
              </w:rPr>
              <w:t xml:space="preserve"> spells are periods of flow above the 95</w:t>
            </w:r>
            <w:r w:rsidRPr="00C26C6D">
              <w:rPr>
                <w:sz w:val="20"/>
                <w:szCs w:val="20"/>
                <w:vertAlign w:val="superscript"/>
              </w:rPr>
              <w:t>th</w:t>
            </w:r>
            <w:r w:rsidRPr="00C26C6D">
              <w:rPr>
                <w:sz w:val="20"/>
                <w:szCs w:val="20"/>
              </w:rPr>
              <w:t xml:space="preserve"> percentile</w:t>
            </w:r>
            <w:r>
              <w:rPr>
                <w:sz w:val="20"/>
                <w:szCs w:val="20"/>
              </w:rPr>
              <w:t>; low flow spells are periods of flow below the 5</w:t>
            </w:r>
            <w:r w:rsidRPr="003E68F1">
              <w:rPr>
                <w:sz w:val="20"/>
                <w:szCs w:val="20"/>
                <w:vertAlign w:val="superscript"/>
              </w:rPr>
              <w:t>th</w:t>
            </w:r>
            <w:r>
              <w:rPr>
                <w:sz w:val="20"/>
                <w:szCs w:val="20"/>
              </w:rPr>
              <w:t xml:space="preserve"> percentile</w:t>
            </w:r>
            <w:r w:rsidRPr="00C26C6D">
              <w:rPr>
                <w:sz w:val="20"/>
                <w:szCs w:val="20"/>
              </w:rPr>
              <w:t>. HSPeak</w:t>
            </w:r>
            <w:r>
              <w:rPr>
                <w:sz w:val="20"/>
                <w:szCs w:val="20"/>
              </w:rPr>
              <w:t xml:space="preserve"> and LSPeak</w:t>
            </w:r>
            <w:r w:rsidRPr="00C26C6D">
              <w:rPr>
                <w:sz w:val="20"/>
                <w:szCs w:val="20"/>
              </w:rPr>
              <w:t xml:space="preserve"> describes the mean magnitude of </w:t>
            </w:r>
            <w:r>
              <w:rPr>
                <w:sz w:val="20"/>
                <w:szCs w:val="20"/>
              </w:rPr>
              <w:t>highest and lowest</w:t>
            </w:r>
            <w:r w:rsidRPr="00C26C6D">
              <w:rPr>
                <w:sz w:val="20"/>
                <w:szCs w:val="20"/>
              </w:rPr>
              <w:t xml:space="preserve"> flows during high </w:t>
            </w:r>
            <w:r>
              <w:rPr>
                <w:sz w:val="20"/>
                <w:szCs w:val="20"/>
              </w:rPr>
              <w:t xml:space="preserve">and low </w:t>
            </w:r>
            <w:r w:rsidRPr="00C26C6D">
              <w:rPr>
                <w:sz w:val="20"/>
                <w:szCs w:val="20"/>
              </w:rPr>
              <w:t>spells throughout the record</w:t>
            </w:r>
            <w:r>
              <w:rPr>
                <w:sz w:val="20"/>
                <w:szCs w:val="20"/>
              </w:rPr>
              <w:t>, respectively</w:t>
            </w:r>
            <w:r w:rsidRPr="00C26C6D">
              <w:rPr>
                <w:sz w:val="20"/>
                <w:szCs w:val="20"/>
              </w:rPr>
              <w:t xml:space="preserve">. MDFAnnHSNum </w:t>
            </w:r>
            <w:r>
              <w:rPr>
                <w:sz w:val="20"/>
                <w:szCs w:val="20"/>
              </w:rPr>
              <w:t xml:space="preserve">and MDFAnnLSNum </w:t>
            </w:r>
            <w:r w:rsidRPr="00C26C6D">
              <w:rPr>
                <w:sz w:val="20"/>
                <w:szCs w:val="20"/>
              </w:rPr>
              <w:t>describe the mean annual frequency of high</w:t>
            </w:r>
            <w:r>
              <w:rPr>
                <w:sz w:val="20"/>
                <w:szCs w:val="20"/>
              </w:rPr>
              <w:t xml:space="preserve"> and low</w:t>
            </w:r>
            <w:r w:rsidRPr="00C26C6D">
              <w:rPr>
                <w:sz w:val="20"/>
                <w:szCs w:val="20"/>
              </w:rPr>
              <w:t xml:space="preserve"> spell</w:t>
            </w:r>
            <w:r>
              <w:rPr>
                <w:sz w:val="20"/>
                <w:szCs w:val="20"/>
              </w:rPr>
              <w:t>s</w:t>
            </w:r>
            <w:r w:rsidRPr="00C26C6D">
              <w:rPr>
                <w:sz w:val="20"/>
                <w:szCs w:val="20"/>
              </w:rPr>
              <w:t xml:space="preserve">. </w:t>
            </w:r>
            <w:r>
              <w:rPr>
                <w:sz w:val="20"/>
                <w:szCs w:val="20"/>
              </w:rPr>
              <w:t xml:space="preserve">HSMeanDur and LSMeanDur </w:t>
            </w:r>
            <w:r>
              <w:rPr>
                <w:sz w:val="20"/>
                <w:szCs w:val="20"/>
              </w:rPr>
              <w:lastRenderedPageBreak/>
              <w:t>describe how long the flow event lasted. C</w:t>
            </w:r>
            <w:r w:rsidRPr="00C26C6D">
              <w:rPr>
                <w:sz w:val="20"/>
                <w:szCs w:val="20"/>
              </w:rPr>
              <w:t>oefficients of variation</w:t>
            </w:r>
            <w:r>
              <w:rPr>
                <w:sz w:val="20"/>
                <w:szCs w:val="20"/>
              </w:rPr>
              <w:t xml:space="preserve"> (CV)</w:t>
            </w:r>
            <w:r w:rsidRPr="00C26C6D">
              <w:rPr>
                <w:sz w:val="20"/>
                <w:szCs w:val="20"/>
              </w:rPr>
              <w:t xml:space="preserve"> of these metrics between years characte</w:t>
            </w:r>
            <w:r>
              <w:rPr>
                <w:sz w:val="20"/>
                <w:szCs w:val="20"/>
              </w:rPr>
              <w:t>rise temporal heterogeneity in flow patterns</w:t>
            </w:r>
            <w:r w:rsidRPr="00C26C6D">
              <w:rPr>
                <w:sz w:val="20"/>
                <w:szCs w:val="20"/>
              </w:rPr>
              <w:t xml:space="preserve">.  </w:t>
            </w:r>
          </w:p>
        </w:tc>
      </w:tr>
      <w:tr w:rsidR="001E144B" w:rsidRPr="00C26C6D" w14:paraId="10BCE48B" w14:textId="77777777" w:rsidTr="00453CE4">
        <w:tc>
          <w:tcPr>
            <w:tcW w:w="2204" w:type="dxa"/>
            <w:tcBorders>
              <w:top w:val="nil"/>
              <w:bottom w:val="nil"/>
              <w:right w:val="single" w:sz="4" w:space="0" w:color="auto"/>
            </w:tcBorders>
          </w:tcPr>
          <w:p w14:paraId="0B73DC18" w14:textId="77777777" w:rsidR="001E144B" w:rsidRDefault="001E144B" w:rsidP="00920594">
            <w:pPr>
              <w:spacing w:line="360" w:lineRule="auto"/>
              <w:rPr>
                <w:sz w:val="20"/>
                <w:szCs w:val="20"/>
              </w:rPr>
            </w:pPr>
            <w:r w:rsidRPr="00C26C6D">
              <w:rPr>
                <w:sz w:val="20"/>
                <w:szCs w:val="20"/>
              </w:rPr>
              <w:t>CV of all years’ mean high spell magnitude</w:t>
            </w:r>
          </w:p>
          <w:p w14:paraId="66F80CFA" w14:textId="630E1E93" w:rsidR="001E144B" w:rsidRPr="00C26C6D" w:rsidRDefault="001E144B" w:rsidP="00920594">
            <w:pPr>
              <w:spacing w:line="360" w:lineRule="auto"/>
              <w:rPr>
                <w:sz w:val="20"/>
                <w:szCs w:val="20"/>
              </w:rPr>
            </w:pPr>
            <w:r w:rsidRPr="00C26C6D">
              <w:rPr>
                <w:sz w:val="20"/>
                <w:szCs w:val="20"/>
              </w:rPr>
              <w:t xml:space="preserve">CV of all years’ mean </w:t>
            </w:r>
            <w:r>
              <w:rPr>
                <w:sz w:val="20"/>
                <w:szCs w:val="20"/>
              </w:rPr>
              <w:t>low spell magnitude</w:t>
            </w:r>
          </w:p>
        </w:tc>
        <w:tc>
          <w:tcPr>
            <w:tcW w:w="1902" w:type="dxa"/>
            <w:tcBorders>
              <w:top w:val="nil"/>
              <w:left w:val="single" w:sz="4" w:space="0" w:color="auto"/>
              <w:bottom w:val="nil"/>
              <w:right w:val="single" w:sz="4" w:space="0" w:color="auto"/>
            </w:tcBorders>
          </w:tcPr>
          <w:p w14:paraId="05D4118A" w14:textId="77777777" w:rsidR="001E144B" w:rsidRDefault="001E144B" w:rsidP="00920594">
            <w:pPr>
              <w:spacing w:line="360" w:lineRule="auto"/>
              <w:rPr>
                <w:sz w:val="20"/>
                <w:szCs w:val="20"/>
              </w:rPr>
            </w:pPr>
            <w:r w:rsidRPr="00C26C6D">
              <w:rPr>
                <w:sz w:val="20"/>
                <w:szCs w:val="20"/>
              </w:rPr>
              <w:t>CVAnnHSPeak</w:t>
            </w:r>
          </w:p>
          <w:p w14:paraId="33B19068" w14:textId="77777777" w:rsidR="001E144B" w:rsidRDefault="001E144B" w:rsidP="00920594">
            <w:pPr>
              <w:spacing w:line="360" w:lineRule="auto"/>
              <w:rPr>
                <w:sz w:val="20"/>
                <w:szCs w:val="20"/>
              </w:rPr>
            </w:pPr>
          </w:p>
          <w:p w14:paraId="5516B32D" w14:textId="75160C04" w:rsidR="001E144B" w:rsidRPr="00C26C6D" w:rsidRDefault="001E144B" w:rsidP="00920594">
            <w:pPr>
              <w:spacing w:line="360" w:lineRule="auto"/>
              <w:rPr>
                <w:sz w:val="20"/>
                <w:szCs w:val="20"/>
              </w:rPr>
            </w:pPr>
            <w:r>
              <w:rPr>
                <w:sz w:val="20"/>
                <w:szCs w:val="20"/>
              </w:rPr>
              <w:t>CVAnnLSPeak</w:t>
            </w:r>
          </w:p>
        </w:tc>
        <w:tc>
          <w:tcPr>
            <w:tcW w:w="1559" w:type="dxa"/>
            <w:tcBorders>
              <w:top w:val="nil"/>
              <w:left w:val="single" w:sz="4" w:space="0" w:color="auto"/>
              <w:bottom w:val="nil"/>
              <w:right w:val="single" w:sz="4" w:space="0" w:color="auto"/>
            </w:tcBorders>
          </w:tcPr>
          <w:p w14:paraId="69D7EF10" w14:textId="7D4AB455" w:rsidR="001E144B" w:rsidRDefault="001E144B" w:rsidP="00920594">
            <w:pPr>
              <w:spacing w:line="360" w:lineRule="auto"/>
              <w:rPr>
                <w:sz w:val="20"/>
                <w:szCs w:val="20"/>
              </w:rPr>
            </w:pPr>
            <w:r>
              <w:rPr>
                <w:sz w:val="20"/>
                <w:szCs w:val="20"/>
              </w:rPr>
              <w:t>d</w:t>
            </w:r>
            <w:r w:rsidRPr="00C26C6D">
              <w:rPr>
                <w:sz w:val="20"/>
                <w:szCs w:val="20"/>
              </w:rPr>
              <w:t>imensionless</w:t>
            </w:r>
          </w:p>
          <w:p w14:paraId="14FDB279" w14:textId="77777777" w:rsidR="001E144B" w:rsidRDefault="001E144B" w:rsidP="00920594">
            <w:pPr>
              <w:spacing w:line="360" w:lineRule="auto"/>
              <w:rPr>
                <w:sz w:val="20"/>
                <w:szCs w:val="20"/>
              </w:rPr>
            </w:pPr>
          </w:p>
          <w:p w14:paraId="63B49AA1" w14:textId="35F52A60" w:rsidR="001E144B" w:rsidRDefault="001E144B" w:rsidP="00920594">
            <w:pPr>
              <w:spacing w:line="360" w:lineRule="auto"/>
              <w:rPr>
                <w:sz w:val="20"/>
                <w:szCs w:val="20"/>
              </w:rPr>
            </w:pPr>
            <w:r>
              <w:rPr>
                <w:sz w:val="20"/>
                <w:szCs w:val="20"/>
              </w:rPr>
              <w:t>dimensionless</w:t>
            </w:r>
          </w:p>
          <w:p w14:paraId="62E4B5D0" w14:textId="77777777" w:rsidR="001E144B" w:rsidRPr="00C26C6D" w:rsidRDefault="001E144B" w:rsidP="00920594">
            <w:pPr>
              <w:spacing w:line="360" w:lineRule="auto"/>
              <w:rPr>
                <w:sz w:val="20"/>
                <w:szCs w:val="20"/>
              </w:rPr>
            </w:pPr>
          </w:p>
        </w:tc>
        <w:tc>
          <w:tcPr>
            <w:tcW w:w="3351" w:type="dxa"/>
            <w:vMerge/>
            <w:tcBorders>
              <w:left w:val="single" w:sz="4" w:space="0" w:color="auto"/>
            </w:tcBorders>
          </w:tcPr>
          <w:p w14:paraId="7B1FDF0D" w14:textId="77777777" w:rsidR="001E144B" w:rsidRPr="00C26C6D" w:rsidRDefault="001E144B" w:rsidP="00920594">
            <w:pPr>
              <w:spacing w:line="360" w:lineRule="auto"/>
              <w:rPr>
                <w:sz w:val="20"/>
                <w:szCs w:val="20"/>
              </w:rPr>
            </w:pPr>
          </w:p>
        </w:tc>
      </w:tr>
      <w:tr w:rsidR="001E144B" w:rsidRPr="00C26C6D" w14:paraId="249F4319" w14:textId="77777777" w:rsidTr="00453CE4">
        <w:tc>
          <w:tcPr>
            <w:tcW w:w="2204" w:type="dxa"/>
            <w:tcBorders>
              <w:top w:val="nil"/>
              <w:bottom w:val="nil"/>
              <w:right w:val="single" w:sz="4" w:space="0" w:color="auto"/>
            </w:tcBorders>
          </w:tcPr>
          <w:p w14:paraId="19676458" w14:textId="77777777" w:rsidR="001E144B" w:rsidRDefault="001E144B" w:rsidP="00920594">
            <w:pPr>
              <w:spacing w:line="360" w:lineRule="auto"/>
              <w:rPr>
                <w:sz w:val="20"/>
                <w:szCs w:val="20"/>
              </w:rPr>
            </w:pPr>
            <w:r w:rsidRPr="00C26C6D">
              <w:rPr>
                <w:sz w:val="20"/>
                <w:szCs w:val="20"/>
              </w:rPr>
              <w:t>Mean of all years’ number of high spells</w:t>
            </w:r>
          </w:p>
          <w:p w14:paraId="33D0BB77" w14:textId="74FD4EBD" w:rsidR="001E144B" w:rsidRPr="00C26C6D" w:rsidRDefault="001E144B" w:rsidP="00EA57AB">
            <w:pPr>
              <w:spacing w:line="360" w:lineRule="auto"/>
              <w:rPr>
                <w:sz w:val="20"/>
                <w:szCs w:val="20"/>
              </w:rPr>
            </w:pPr>
            <w:r w:rsidRPr="00C26C6D">
              <w:rPr>
                <w:sz w:val="20"/>
                <w:szCs w:val="20"/>
              </w:rPr>
              <w:lastRenderedPageBreak/>
              <w:t xml:space="preserve">Mean of all years’ number of </w:t>
            </w:r>
            <w:r>
              <w:rPr>
                <w:sz w:val="20"/>
                <w:szCs w:val="20"/>
              </w:rPr>
              <w:t>low</w:t>
            </w:r>
            <w:r w:rsidRPr="00C26C6D">
              <w:rPr>
                <w:sz w:val="20"/>
                <w:szCs w:val="20"/>
              </w:rPr>
              <w:t xml:space="preserve"> spells</w:t>
            </w:r>
          </w:p>
        </w:tc>
        <w:tc>
          <w:tcPr>
            <w:tcW w:w="1902" w:type="dxa"/>
            <w:tcBorders>
              <w:top w:val="nil"/>
              <w:left w:val="single" w:sz="4" w:space="0" w:color="auto"/>
              <w:bottom w:val="nil"/>
              <w:right w:val="single" w:sz="4" w:space="0" w:color="auto"/>
            </w:tcBorders>
          </w:tcPr>
          <w:p w14:paraId="31D27020" w14:textId="77777777" w:rsidR="001E144B" w:rsidRDefault="001E144B" w:rsidP="00920594">
            <w:pPr>
              <w:spacing w:line="360" w:lineRule="auto"/>
              <w:rPr>
                <w:sz w:val="20"/>
                <w:szCs w:val="20"/>
              </w:rPr>
            </w:pPr>
            <w:r w:rsidRPr="00C26C6D">
              <w:rPr>
                <w:sz w:val="20"/>
                <w:szCs w:val="20"/>
              </w:rPr>
              <w:lastRenderedPageBreak/>
              <w:t>MDFAnnHSNum</w:t>
            </w:r>
          </w:p>
          <w:p w14:paraId="71245B4E" w14:textId="77777777" w:rsidR="001E144B" w:rsidRDefault="001E144B" w:rsidP="00920594">
            <w:pPr>
              <w:spacing w:line="360" w:lineRule="auto"/>
              <w:rPr>
                <w:sz w:val="20"/>
                <w:szCs w:val="20"/>
              </w:rPr>
            </w:pPr>
          </w:p>
          <w:p w14:paraId="69B486D7" w14:textId="34C294A2" w:rsidR="001E144B" w:rsidRPr="00C26C6D" w:rsidRDefault="001E144B" w:rsidP="00920594">
            <w:pPr>
              <w:spacing w:line="360" w:lineRule="auto"/>
              <w:rPr>
                <w:sz w:val="20"/>
                <w:szCs w:val="20"/>
              </w:rPr>
            </w:pPr>
            <w:r>
              <w:rPr>
                <w:sz w:val="20"/>
                <w:szCs w:val="20"/>
              </w:rPr>
              <w:t>MDFAnnLSNum</w:t>
            </w:r>
          </w:p>
        </w:tc>
        <w:tc>
          <w:tcPr>
            <w:tcW w:w="1559" w:type="dxa"/>
            <w:tcBorders>
              <w:top w:val="nil"/>
              <w:left w:val="single" w:sz="4" w:space="0" w:color="auto"/>
              <w:bottom w:val="nil"/>
              <w:right w:val="single" w:sz="4" w:space="0" w:color="auto"/>
            </w:tcBorders>
          </w:tcPr>
          <w:p w14:paraId="2A602F84" w14:textId="77777777" w:rsidR="001E144B" w:rsidRDefault="001E144B" w:rsidP="00920594">
            <w:pPr>
              <w:spacing w:line="360" w:lineRule="auto"/>
              <w:rPr>
                <w:sz w:val="20"/>
                <w:szCs w:val="20"/>
                <w:vertAlign w:val="superscript"/>
              </w:rPr>
            </w:pPr>
            <w:r w:rsidRPr="00C26C6D">
              <w:rPr>
                <w:sz w:val="20"/>
                <w:szCs w:val="20"/>
              </w:rPr>
              <w:t>year</w:t>
            </w:r>
            <w:r w:rsidRPr="00C26C6D">
              <w:rPr>
                <w:sz w:val="20"/>
                <w:szCs w:val="20"/>
                <w:vertAlign w:val="superscript"/>
              </w:rPr>
              <w:t>-1</w:t>
            </w:r>
          </w:p>
          <w:p w14:paraId="470BA9B4" w14:textId="77777777" w:rsidR="001E144B" w:rsidRDefault="001E144B" w:rsidP="00920594">
            <w:pPr>
              <w:spacing w:line="360" w:lineRule="auto"/>
              <w:rPr>
                <w:sz w:val="20"/>
                <w:szCs w:val="20"/>
                <w:vertAlign w:val="superscript"/>
              </w:rPr>
            </w:pPr>
          </w:p>
          <w:p w14:paraId="4DA5D24D" w14:textId="257A348F" w:rsidR="001E144B" w:rsidRPr="00C26C6D" w:rsidRDefault="001E144B" w:rsidP="00920594">
            <w:pPr>
              <w:spacing w:line="360" w:lineRule="auto"/>
              <w:rPr>
                <w:sz w:val="20"/>
                <w:szCs w:val="20"/>
              </w:rPr>
            </w:pPr>
            <w:r w:rsidRPr="00C26C6D">
              <w:rPr>
                <w:sz w:val="20"/>
                <w:szCs w:val="20"/>
              </w:rPr>
              <w:t>year</w:t>
            </w:r>
            <w:r w:rsidRPr="00C26C6D">
              <w:rPr>
                <w:sz w:val="20"/>
                <w:szCs w:val="20"/>
                <w:vertAlign w:val="superscript"/>
              </w:rPr>
              <w:t>-1</w:t>
            </w:r>
          </w:p>
        </w:tc>
        <w:tc>
          <w:tcPr>
            <w:tcW w:w="3351" w:type="dxa"/>
            <w:vMerge/>
            <w:tcBorders>
              <w:left w:val="single" w:sz="4" w:space="0" w:color="auto"/>
            </w:tcBorders>
          </w:tcPr>
          <w:p w14:paraId="6D81B8E6" w14:textId="77777777" w:rsidR="001E144B" w:rsidRPr="00C26C6D" w:rsidRDefault="001E144B" w:rsidP="00920594">
            <w:pPr>
              <w:spacing w:line="360" w:lineRule="auto"/>
              <w:rPr>
                <w:sz w:val="20"/>
                <w:szCs w:val="20"/>
              </w:rPr>
            </w:pPr>
          </w:p>
        </w:tc>
      </w:tr>
      <w:tr w:rsidR="001E144B" w:rsidRPr="00C26C6D" w14:paraId="7D06C727" w14:textId="77777777" w:rsidTr="00453CE4">
        <w:tc>
          <w:tcPr>
            <w:tcW w:w="2204" w:type="dxa"/>
            <w:tcBorders>
              <w:top w:val="nil"/>
              <w:bottom w:val="nil"/>
              <w:right w:val="single" w:sz="4" w:space="0" w:color="auto"/>
            </w:tcBorders>
          </w:tcPr>
          <w:p w14:paraId="70CE0F67" w14:textId="77777777" w:rsidR="001E144B" w:rsidRDefault="001E144B" w:rsidP="00920594">
            <w:pPr>
              <w:spacing w:line="360" w:lineRule="auto"/>
              <w:rPr>
                <w:sz w:val="20"/>
                <w:szCs w:val="20"/>
              </w:rPr>
            </w:pPr>
            <w:r w:rsidRPr="00C26C6D">
              <w:rPr>
                <w:sz w:val="20"/>
                <w:szCs w:val="20"/>
              </w:rPr>
              <w:lastRenderedPageBreak/>
              <w:t>CV of all years’ number of high spells</w:t>
            </w:r>
          </w:p>
          <w:p w14:paraId="0CDDCD28" w14:textId="75C8E67E" w:rsidR="001E144B" w:rsidRPr="00C26C6D" w:rsidRDefault="001E144B" w:rsidP="00920594">
            <w:pPr>
              <w:spacing w:line="360" w:lineRule="auto"/>
              <w:rPr>
                <w:sz w:val="20"/>
                <w:szCs w:val="20"/>
              </w:rPr>
            </w:pPr>
            <w:r w:rsidRPr="00C26C6D">
              <w:rPr>
                <w:sz w:val="20"/>
                <w:szCs w:val="20"/>
              </w:rPr>
              <w:t xml:space="preserve">CV of all years’ number of </w:t>
            </w:r>
            <w:r>
              <w:rPr>
                <w:sz w:val="20"/>
                <w:szCs w:val="20"/>
              </w:rPr>
              <w:t>low</w:t>
            </w:r>
            <w:r w:rsidRPr="00C26C6D">
              <w:rPr>
                <w:sz w:val="20"/>
                <w:szCs w:val="20"/>
              </w:rPr>
              <w:t xml:space="preserve"> spells</w:t>
            </w:r>
          </w:p>
        </w:tc>
        <w:tc>
          <w:tcPr>
            <w:tcW w:w="1902" w:type="dxa"/>
            <w:tcBorders>
              <w:top w:val="nil"/>
              <w:left w:val="single" w:sz="4" w:space="0" w:color="auto"/>
              <w:bottom w:val="nil"/>
              <w:right w:val="single" w:sz="4" w:space="0" w:color="auto"/>
            </w:tcBorders>
          </w:tcPr>
          <w:p w14:paraId="373F584D" w14:textId="77777777" w:rsidR="001E144B" w:rsidRDefault="001E144B" w:rsidP="00920594">
            <w:pPr>
              <w:spacing w:line="360" w:lineRule="auto"/>
              <w:rPr>
                <w:sz w:val="20"/>
                <w:szCs w:val="20"/>
              </w:rPr>
            </w:pPr>
            <w:r w:rsidRPr="00C26C6D">
              <w:rPr>
                <w:sz w:val="20"/>
                <w:szCs w:val="20"/>
              </w:rPr>
              <w:t>CVAnnHSNum</w:t>
            </w:r>
          </w:p>
          <w:p w14:paraId="142B4470" w14:textId="77777777" w:rsidR="001E144B" w:rsidRDefault="001E144B" w:rsidP="00920594">
            <w:pPr>
              <w:spacing w:line="360" w:lineRule="auto"/>
              <w:rPr>
                <w:sz w:val="20"/>
                <w:szCs w:val="20"/>
              </w:rPr>
            </w:pPr>
          </w:p>
          <w:p w14:paraId="34143E6A" w14:textId="5AED3495" w:rsidR="001E144B" w:rsidRPr="00C26C6D" w:rsidRDefault="001E144B" w:rsidP="00920594">
            <w:pPr>
              <w:spacing w:line="360" w:lineRule="auto"/>
              <w:rPr>
                <w:sz w:val="20"/>
                <w:szCs w:val="20"/>
              </w:rPr>
            </w:pPr>
            <w:r>
              <w:rPr>
                <w:sz w:val="20"/>
                <w:szCs w:val="20"/>
              </w:rPr>
              <w:t>CVAnnLSNum</w:t>
            </w:r>
          </w:p>
        </w:tc>
        <w:tc>
          <w:tcPr>
            <w:tcW w:w="1559" w:type="dxa"/>
            <w:tcBorders>
              <w:top w:val="nil"/>
              <w:left w:val="single" w:sz="4" w:space="0" w:color="auto"/>
              <w:bottom w:val="nil"/>
              <w:right w:val="single" w:sz="4" w:space="0" w:color="auto"/>
            </w:tcBorders>
          </w:tcPr>
          <w:p w14:paraId="5907254C" w14:textId="5B4FEDBF" w:rsidR="001E144B" w:rsidRDefault="001E144B" w:rsidP="00920594">
            <w:pPr>
              <w:spacing w:line="360" w:lineRule="auto"/>
              <w:rPr>
                <w:sz w:val="20"/>
                <w:szCs w:val="20"/>
              </w:rPr>
            </w:pPr>
            <w:r>
              <w:rPr>
                <w:sz w:val="20"/>
                <w:szCs w:val="20"/>
              </w:rPr>
              <w:t>d</w:t>
            </w:r>
            <w:r w:rsidRPr="00C26C6D">
              <w:rPr>
                <w:sz w:val="20"/>
                <w:szCs w:val="20"/>
              </w:rPr>
              <w:t>imensionless</w:t>
            </w:r>
          </w:p>
          <w:p w14:paraId="5BAB29C2" w14:textId="77777777" w:rsidR="001E144B" w:rsidRDefault="001E144B" w:rsidP="00920594">
            <w:pPr>
              <w:spacing w:line="360" w:lineRule="auto"/>
              <w:rPr>
                <w:sz w:val="20"/>
                <w:szCs w:val="20"/>
              </w:rPr>
            </w:pPr>
          </w:p>
          <w:p w14:paraId="07AB3BE8" w14:textId="506DE65F" w:rsidR="001E144B" w:rsidRPr="00C26C6D" w:rsidRDefault="001E144B" w:rsidP="00920594">
            <w:pPr>
              <w:spacing w:line="360" w:lineRule="auto"/>
              <w:rPr>
                <w:sz w:val="20"/>
                <w:szCs w:val="20"/>
              </w:rPr>
            </w:pPr>
            <w:r>
              <w:rPr>
                <w:sz w:val="20"/>
                <w:szCs w:val="20"/>
              </w:rPr>
              <w:t>dimensionless</w:t>
            </w:r>
          </w:p>
        </w:tc>
        <w:tc>
          <w:tcPr>
            <w:tcW w:w="3351" w:type="dxa"/>
            <w:vMerge/>
            <w:tcBorders>
              <w:left w:val="single" w:sz="4" w:space="0" w:color="auto"/>
            </w:tcBorders>
          </w:tcPr>
          <w:p w14:paraId="4F25ED20" w14:textId="77777777" w:rsidR="001E144B" w:rsidRPr="00C26C6D" w:rsidRDefault="001E144B" w:rsidP="00920594">
            <w:pPr>
              <w:spacing w:line="360" w:lineRule="auto"/>
              <w:rPr>
                <w:sz w:val="20"/>
                <w:szCs w:val="20"/>
              </w:rPr>
            </w:pPr>
          </w:p>
        </w:tc>
      </w:tr>
      <w:tr w:rsidR="001E144B" w:rsidRPr="00C26C6D" w14:paraId="3FD9D01B" w14:textId="77777777" w:rsidTr="00453CE4">
        <w:tc>
          <w:tcPr>
            <w:tcW w:w="2204" w:type="dxa"/>
            <w:tcBorders>
              <w:top w:val="nil"/>
              <w:bottom w:val="nil"/>
              <w:right w:val="single" w:sz="4" w:space="0" w:color="auto"/>
            </w:tcBorders>
          </w:tcPr>
          <w:p w14:paraId="088412D2" w14:textId="4DD2BADC" w:rsidR="001E144B" w:rsidRDefault="001E144B" w:rsidP="00920594">
            <w:pPr>
              <w:spacing w:line="360" w:lineRule="auto"/>
              <w:rPr>
                <w:sz w:val="20"/>
                <w:szCs w:val="20"/>
              </w:rPr>
            </w:pPr>
            <w:r>
              <w:rPr>
                <w:sz w:val="20"/>
                <w:szCs w:val="20"/>
              </w:rPr>
              <w:t>High spell mean duration</w:t>
            </w:r>
          </w:p>
          <w:p w14:paraId="058F4BD8" w14:textId="28576915" w:rsidR="001E144B" w:rsidRPr="00C26C6D" w:rsidRDefault="001E144B" w:rsidP="00920594">
            <w:pPr>
              <w:spacing w:line="360" w:lineRule="auto"/>
              <w:rPr>
                <w:sz w:val="20"/>
                <w:szCs w:val="20"/>
              </w:rPr>
            </w:pPr>
            <w:r>
              <w:rPr>
                <w:sz w:val="20"/>
                <w:szCs w:val="20"/>
              </w:rPr>
              <w:t>Low spell mean duration</w:t>
            </w:r>
          </w:p>
        </w:tc>
        <w:tc>
          <w:tcPr>
            <w:tcW w:w="1902" w:type="dxa"/>
            <w:tcBorders>
              <w:top w:val="nil"/>
              <w:left w:val="single" w:sz="4" w:space="0" w:color="auto"/>
              <w:bottom w:val="nil"/>
              <w:right w:val="single" w:sz="4" w:space="0" w:color="auto"/>
            </w:tcBorders>
          </w:tcPr>
          <w:p w14:paraId="3C671855" w14:textId="77777777" w:rsidR="001E144B" w:rsidRDefault="001E144B" w:rsidP="00920594">
            <w:pPr>
              <w:spacing w:line="360" w:lineRule="auto"/>
              <w:rPr>
                <w:sz w:val="20"/>
                <w:szCs w:val="20"/>
              </w:rPr>
            </w:pPr>
            <w:r>
              <w:rPr>
                <w:sz w:val="20"/>
                <w:szCs w:val="20"/>
              </w:rPr>
              <w:t>HSMeanDur</w:t>
            </w:r>
          </w:p>
          <w:p w14:paraId="2DB5C4CE" w14:textId="77777777" w:rsidR="001E144B" w:rsidRDefault="001E144B" w:rsidP="00920594">
            <w:pPr>
              <w:spacing w:line="360" w:lineRule="auto"/>
              <w:rPr>
                <w:sz w:val="20"/>
                <w:szCs w:val="20"/>
              </w:rPr>
            </w:pPr>
          </w:p>
          <w:p w14:paraId="655D4AF3" w14:textId="314BF119" w:rsidR="001E144B" w:rsidRPr="00C26C6D" w:rsidRDefault="001E144B" w:rsidP="00920594">
            <w:pPr>
              <w:spacing w:line="360" w:lineRule="auto"/>
              <w:rPr>
                <w:sz w:val="20"/>
                <w:szCs w:val="20"/>
              </w:rPr>
            </w:pPr>
            <w:r>
              <w:rPr>
                <w:sz w:val="20"/>
                <w:szCs w:val="20"/>
              </w:rPr>
              <w:t>LSMeanDur</w:t>
            </w:r>
          </w:p>
        </w:tc>
        <w:tc>
          <w:tcPr>
            <w:tcW w:w="1559" w:type="dxa"/>
            <w:tcBorders>
              <w:top w:val="nil"/>
              <w:left w:val="single" w:sz="4" w:space="0" w:color="auto"/>
              <w:bottom w:val="nil"/>
              <w:right w:val="single" w:sz="4" w:space="0" w:color="auto"/>
            </w:tcBorders>
          </w:tcPr>
          <w:p w14:paraId="496D12E4" w14:textId="62B2A3C0" w:rsidR="001E144B" w:rsidRDefault="001E144B" w:rsidP="00920594">
            <w:pPr>
              <w:spacing w:line="360" w:lineRule="auto"/>
              <w:rPr>
                <w:sz w:val="20"/>
                <w:szCs w:val="20"/>
              </w:rPr>
            </w:pPr>
            <w:r>
              <w:rPr>
                <w:sz w:val="20"/>
                <w:szCs w:val="20"/>
              </w:rPr>
              <w:t>days</w:t>
            </w:r>
          </w:p>
          <w:p w14:paraId="3C9F6884" w14:textId="77777777" w:rsidR="001E144B" w:rsidRDefault="001E144B" w:rsidP="00920594">
            <w:pPr>
              <w:spacing w:line="360" w:lineRule="auto"/>
              <w:rPr>
                <w:sz w:val="20"/>
                <w:szCs w:val="20"/>
              </w:rPr>
            </w:pPr>
          </w:p>
          <w:p w14:paraId="47112FEF" w14:textId="33A439FF" w:rsidR="001E144B" w:rsidRPr="00C26C6D" w:rsidRDefault="001E144B" w:rsidP="00920594">
            <w:pPr>
              <w:spacing w:line="360" w:lineRule="auto"/>
              <w:rPr>
                <w:sz w:val="20"/>
                <w:szCs w:val="20"/>
              </w:rPr>
            </w:pPr>
            <w:r>
              <w:rPr>
                <w:sz w:val="20"/>
                <w:szCs w:val="20"/>
              </w:rPr>
              <w:t>days</w:t>
            </w:r>
          </w:p>
        </w:tc>
        <w:tc>
          <w:tcPr>
            <w:tcW w:w="3351" w:type="dxa"/>
            <w:vMerge/>
            <w:tcBorders>
              <w:left w:val="single" w:sz="4" w:space="0" w:color="auto"/>
            </w:tcBorders>
          </w:tcPr>
          <w:p w14:paraId="7968ADA0" w14:textId="77777777" w:rsidR="001E144B" w:rsidRPr="00C26C6D" w:rsidRDefault="001E144B" w:rsidP="00920594">
            <w:pPr>
              <w:spacing w:line="360" w:lineRule="auto"/>
              <w:rPr>
                <w:sz w:val="20"/>
                <w:szCs w:val="20"/>
              </w:rPr>
            </w:pPr>
          </w:p>
        </w:tc>
      </w:tr>
      <w:tr w:rsidR="001E144B" w:rsidRPr="00C26C6D" w14:paraId="3F210CCB" w14:textId="77777777" w:rsidTr="00453CE4">
        <w:tc>
          <w:tcPr>
            <w:tcW w:w="2204" w:type="dxa"/>
            <w:tcBorders>
              <w:top w:val="nil"/>
              <w:bottom w:val="single" w:sz="4" w:space="0" w:color="auto"/>
              <w:right w:val="single" w:sz="4" w:space="0" w:color="auto"/>
            </w:tcBorders>
          </w:tcPr>
          <w:p w14:paraId="16C4B6E2" w14:textId="13A8C4B6" w:rsidR="001E144B" w:rsidRDefault="001E144B" w:rsidP="00920594">
            <w:pPr>
              <w:spacing w:line="360" w:lineRule="auto"/>
              <w:rPr>
                <w:sz w:val="20"/>
                <w:szCs w:val="20"/>
              </w:rPr>
            </w:pPr>
            <w:r>
              <w:rPr>
                <w:sz w:val="20"/>
                <w:szCs w:val="20"/>
              </w:rPr>
              <w:t>CV of all years’ high spell mean duration</w:t>
            </w:r>
          </w:p>
          <w:p w14:paraId="221174C0" w14:textId="755D7094" w:rsidR="001E144B" w:rsidRPr="00C26C6D" w:rsidRDefault="001E144B" w:rsidP="00920594">
            <w:pPr>
              <w:spacing w:line="360" w:lineRule="auto"/>
              <w:rPr>
                <w:sz w:val="20"/>
                <w:szCs w:val="20"/>
              </w:rPr>
            </w:pPr>
            <w:r>
              <w:rPr>
                <w:sz w:val="20"/>
                <w:szCs w:val="20"/>
              </w:rPr>
              <w:t>CV of all years’ low spell mean duration</w:t>
            </w:r>
          </w:p>
        </w:tc>
        <w:tc>
          <w:tcPr>
            <w:tcW w:w="1902" w:type="dxa"/>
            <w:tcBorders>
              <w:top w:val="nil"/>
              <w:left w:val="single" w:sz="4" w:space="0" w:color="auto"/>
              <w:bottom w:val="single" w:sz="4" w:space="0" w:color="auto"/>
              <w:right w:val="single" w:sz="4" w:space="0" w:color="auto"/>
            </w:tcBorders>
          </w:tcPr>
          <w:p w14:paraId="1CB4E4A4" w14:textId="77777777" w:rsidR="001E144B" w:rsidRDefault="001E144B" w:rsidP="00920594">
            <w:pPr>
              <w:spacing w:line="360" w:lineRule="auto"/>
              <w:rPr>
                <w:sz w:val="20"/>
                <w:szCs w:val="20"/>
              </w:rPr>
            </w:pPr>
            <w:r>
              <w:rPr>
                <w:sz w:val="20"/>
                <w:szCs w:val="20"/>
              </w:rPr>
              <w:t>HSMeanDur</w:t>
            </w:r>
          </w:p>
          <w:p w14:paraId="3239BCDD" w14:textId="77777777" w:rsidR="001E144B" w:rsidRDefault="001E144B" w:rsidP="00920594">
            <w:pPr>
              <w:spacing w:line="360" w:lineRule="auto"/>
              <w:rPr>
                <w:sz w:val="20"/>
                <w:szCs w:val="20"/>
              </w:rPr>
            </w:pPr>
          </w:p>
          <w:p w14:paraId="12B8B488" w14:textId="6C0F337D" w:rsidR="001E144B" w:rsidRPr="00C26C6D" w:rsidRDefault="001E144B" w:rsidP="00920594">
            <w:pPr>
              <w:spacing w:line="360" w:lineRule="auto"/>
              <w:rPr>
                <w:sz w:val="20"/>
                <w:szCs w:val="20"/>
              </w:rPr>
            </w:pPr>
            <w:r>
              <w:rPr>
                <w:sz w:val="20"/>
                <w:szCs w:val="20"/>
              </w:rPr>
              <w:t>LSMeanDur</w:t>
            </w:r>
          </w:p>
        </w:tc>
        <w:tc>
          <w:tcPr>
            <w:tcW w:w="1559" w:type="dxa"/>
            <w:tcBorders>
              <w:top w:val="nil"/>
              <w:left w:val="single" w:sz="4" w:space="0" w:color="auto"/>
              <w:bottom w:val="single" w:sz="4" w:space="0" w:color="auto"/>
              <w:right w:val="single" w:sz="4" w:space="0" w:color="auto"/>
            </w:tcBorders>
          </w:tcPr>
          <w:p w14:paraId="1E372E02" w14:textId="33B0556F" w:rsidR="001E144B" w:rsidRDefault="001E144B" w:rsidP="00920594">
            <w:pPr>
              <w:spacing w:line="360" w:lineRule="auto"/>
              <w:rPr>
                <w:sz w:val="20"/>
                <w:szCs w:val="20"/>
              </w:rPr>
            </w:pPr>
            <w:r>
              <w:rPr>
                <w:sz w:val="20"/>
                <w:szCs w:val="20"/>
              </w:rPr>
              <w:t>dimensionless</w:t>
            </w:r>
          </w:p>
          <w:p w14:paraId="42978166" w14:textId="77777777" w:rsidR="001E144B" w:rsidRDefault="001E144B" w:rsidP="00920594">
            <w:pPr>
              <w:spacing w:line="360" w:lineRule="auto"/>
              <w:rPr>
                <w:sz w:val="20"/>
                <w:szCs w:val="20"/>
              </w:rPr>
            </w:pPr>
          </w:p>
          <w:p w14:paraId="52F28385" w14:textId="494C0D15" w:rsidR="001E144B" w:rsidRPr="00C26C6D" w:rsidRDefault="001E144B" w:rsidP="00920594">
            <w:pPr>
              <w:spacing w:line="360" w:lineRule="auto"/>
              <w:rPr>
                <w:sz w:val="20"/>
                <w:szCs w:val="20"/>
              </w:rPr>
            </w:pPr>
            <w:r>
              <w:rPr>
                <w:sz w:val="20"/>
                <w:szCs w:val="20"/>
              </w:rPr>
              <w:t>dimensionless</w:t>
            </w:r>
          </w:p>
        </w:tc>
        <w:tc>
          <w:tcPr>
            <w:tcW w:w="3351" w:type="dxa"/>
            <w:vMerge/>
            <w:tcBorders>
              <w:left w:val="single" w:sz="4" w:space="0" w:color="auto"/>
              <w:bottom w:val="single" w:sz="4" w:space="0" w:color="auto"/>
            </w:tcBorders>
          </w:tcPr>
          <w:p w14:paraId="3CAC7569" w14:textId="77777777" w:rsidR="001E144B" w:rsidRPr="00C26C6D" w:rsidRDefault="001E144B" w:rsidP="00920594">
            <w:pPr>
              <w:spacing w:line="360" w:lineRule="auto"/>
              <w:rPr>
                <w:sz w:val="20"/>
                <w:szCs w:val="20"/>
              </w:rPr>
            </w:pPr>
          </w:p>
        </w:tc>
      </w:tr>
      <w:tr w:rsidR="00006180" w:rsidRPr="00C26C6D" w14:paraId="2A9AB869" w14:textId="77777777" w:rsidTr="00764BB0">
        <w:tc>
          <w:tcPr>
            <w:tcW w:w="9016" w:type="dxa"/>
            <w:gridSpan w:val="4"/>
            <w:tcBorders>
              <w:top w:val="nil"/>
              <w:bottom w:val="single" w:sz="4" w:space="0" w:color="auto"/>
            </w:tcBorders>
          </w:tcPr>
          <w:p w14:paraId="4C13B1D9" w14:textId="6F1BE5BE" w:rsidR="00006180" w:rsidRPr="00006180" w:rsidRDefault="00006180" w:rsidP="00920594">
            <w:pPr>
              <w:spacing w:line="360" w:lineRule="auto"/>
              <w:rPr>
                <w:i/>
                <w:sz w:val="20"/>
                <w:szCs w:val="20"/>
              </w:rPr>
            </w:pPr>
            <w:r w:rsidRPr="00006180">
              <w:rPr>
                <w:i/>
                <w:sz w:val="20"/>
                <w:szCs w:val="20"/>
              </w:rPr>
              <w:t>Baseflow index</w:t>
            </w:r>
          </w:p>
        </w:tc>
      </w:tr>
      <w:tr w:rsidR="00006180" w:rsidRPr="00C26C6D" w14:paraId="536FA155" w14:textId="77777777" w:rsidTr="00E43D63">
        <w:trPr>
          <w:trHeight w:val="5397"/>
        </w:trPr>
        <w:tc>
          <w:tcPr>
            <w:tcW w:w="2204" w:type="dxa"/>
            <w:tcBorders>
              <w:top w:val="nil"/>
              <w:right w:val="single" w:sz="4" w:space="0" w:color="auto"/>
            </w:tcBorders>
          </w:tcPr>
          <w:p w14:paraId="33DC757B" w14:textId="77777777" w:rsidR="00006180" w:rsidRDefault="00006180" w:rsidP="00920594">
            <w:pPr>
              <w:spacing w:line="360" w:lineRule="auto"/>
              <w:rPr>
                <w:sz w:val="20"/>
                <w:szCs w:val="20"/>
              </w:rPr>
            </w:pPr>
            <w:r>
              <w:rPr>
                <w:sz w:val="20"/>
                <w:szCs w:val="20"/>
              </w:rPr>
              <w:t>Baseflow index</w:t>
            </w:r>
          </w:p>
          <w:p w14:paraId="0CA1612D" w14:textId="2B93AF26" w:rsidR="00006180" w:rsidRDefault="00006180" w:rsidP="00920594">
            <w:pPr>
              <w:spacing w:line="360" w:lineRule="auto"/>
              <w:rPr>
                <w:sz w:val="20"/>
                <w:szCs w:val="20"/>
              </w:rPr>
            </w:pPr>
            <w:r>
              <w:rPr>
                <w:sz w:val="20"/>
                <w:szCs w:val="20"/>
              </w:rPr>
              <w:t>CV of all year’s baseflow index</w:t>
            </w:r>
          </w:p>
        </w:tc>
        <w:tc>
          <w:tcPr>
            <w:tcW w:w="1902" w:type="dxa"/>
            <w:tcBorders>
              <w:top w:val="nil"/>
              <w:left w:val="single" w:sz="4" w:space="0" w:color="auto"/>
              <w:right w:val="single" w:sz="4" w:space="0" w:color="auto"/>
            </w:tcBorders>
          </w:tcPr>
          <w:p w14:paraId="5114284A" w14:textId="77777777" w:rsidR="00006180" w:rsidRDefault="00006180" w:rsidP="00920594">
            <w:pPr>
              <w:spacing w:line="360" w:lineRule="auto"/>
              <w:rPr>
                <w:sz w:val="20"/>
                <w:szCs w:val="20"/>
              </w:rPr>
            </w:pPr>
            <w:r>
              <w:rPr>
                <w:sz w:val="20"/>
                <w:szCs w:val="20"/>
              </w:rPr>
              <w:t>BFI</w:t>
            </w:r>
          </w:p>
          <w:p w14:paraId="2619A456" w14:textId="0D5A89F5" w:rsidR="00006180" w:rsidRDefault="00006180" w:rsidP="00920594">
            <w:pPr>
              <w:spacing w:line="360" w:lineRule="auto"/>
              <w:rPr>
                <w:sz w:val="20"/>
                <w:szCs w:val="20"/>
              </w:rPr>
            </w:pPr>
            <w:r>
              <w:rPr>
                <w:sz w:val="20"/>
                <w:szCs w:val="20"/>
              </w:rPr>
              <w:t>CVAnnBFI</w:t>
            </w:r>
          </w:p>
        </w:tc>
        <w:tc>
          <w:tcPr>
            <w:tcW w:w="1559" w:type="dxa"/>
            <w:tcBorders>
              <w:top w:val="nil"/>
              <w:left w:val="single" w:sz="4" w:space="0" w:color="auto"/>
              <w:right w:val="single" w:sz="4" w:space="0" w:color="auto"/>
            </w:tcBorders>
          </w:tcPr>
          <w:p w14:paraId="6C943E45" w14:textId="77777777" w:rsidR="00006180" w:rsidRDefault="00006180" w:rsidP="00920594">
            <w:pPr>
              <w:spacing w:line="360" w:lineRule="auto"/>
              <w:rPr>
                <w:sz w:val="20"/>
                <w:szCs w:val="20"/>
              </w:rPr>
            </w:pPr>
            <w:r>
              <w:rPr>
                <w:sz w:val="20"/>
                <w:szCs w:val="20"/>
              </w:rPr>
              <w:t>dimensionless</w:t>
            </w:r>
          </w:p>
          <w:p w14:paraId="40C2386E" w14:textId="0E25D45B" w:rsidR="00006180" w:rsidRDefault="00006180" w:rsidP="00920594">
            <w:pPr>
              <w:spacing w:line="360" w:lineRule="auto"/>
              <w:rPr>
                <w:sz w:val="20"/>
                <w:szCs w:val="20"/>
              </w:rPr>
            </w:pPr>
            <w:r>
              <w:rPr>
                <w:sz w:val="20"/>
                <w:szCs w:val="20"/>
              </w:rPr>
              <w:t>dimensionless</w:t>
            </w:r>
          </w:p>
        </w:tc>
        <w:tc>
          <w:tcPr>
            <w:tcW w:w="3351" w:type="dxa"/>
            <w:tcBorders>
              <w:left w:val="single" w:sz="4" w:space="0" w:color="auto"/>
            </w:tcBorders>
          </w:tcPr>
          <w:p w14:paraId="75FBAED9" w14:textId="020AD93F" w:rsidR="00006180" w:rsidRPr="00C26C6D" w:rsidRDefault="00006180" w:rsidP="009A57AA">
            <w:pPr>
              <w:spacing w:line="360" w:lineRule="auto"/>
              <w:rPr>
                <w:sz w:val="20"/>
                <w:szCs w:val="20"/>
              </w:rPr>
            </w:pPr>
            <w:r w:rsidRPr="00F66351">
              <w:t xml:space="preserve">Baseflow index is calculated using the ratio of flow during average conditions to total flow. It is a useful metric of </w:t>
            </w:r>
            <w:r w:rsidR="009A57AA">
              <w:t>perenniality</w:t>
            </w:r>
            <w:r w:rsidRPr="00F66351">
              <w:t xml:space="preserve"> of water availability, in that it is maximised when average flow conditions dominate, and minimised when total flow is dominated by above avera</w:t>
            </w:r>
            <w:r w:rsidR="009A57AA">
              <w:t>ge flow events.</w:t>
            </w:r>
          </w:p>
        </w:tc>
      </w:tr>
      <w:tr w:rsidR="00160298" w:rsidRPr="00C26C6D" w14:paraId="7B39062E" w14:textId="77777777" w:rsidTr="00920594">
        <w:tc>
          <w:tcPr>
            <w:tcW w:w="9016" w:type="dxa"/>
            <w:gridSpan w:val="4"/>
            <w:tcBorders>
              <w:top w:val="single" w:sz="4" w:space="0" w:color="auto"/>
              <w:bottom w:val="single" w:sz="4" w:space="0" w:color="auto"/>
            </w:tcBorders>
          </w:tcPr>
          <w:p w14:paraId="3ECDE0E2" w14:textId="77777777" w:rsidR="00160298" w:rsidRPr="00C26C6D" w:rsidRDefault="00160298" w:rsidP="00920594">
            <w:pPr>
              <w:spacing w:line="360" w:lineRule="auto"/>
              <w:rPr>
                <w:sz w:val="20"/>
                <w:szCs w:val="20"/>
              </w:rPr>
            </w:pPr>
            <w:r w:rsidRPr="00C26C6D">
              <w:rPr>
                <w:i/>
                <w:sz w:val="20"/>
                <w:szCs w:val="20"/>
              </w:rPr>
              <w:t>Colwell’s indices</w:t>
            </w:r>
          </w:p>
        </w:tc>
      </w:tr>
      <w:tr w:rsidR="00160298" w:rsidRPr="00C26C6D" w14:paraId="523A7A7E" w14:textId="77777777" w:rsidTr="00920594">
        <w:tc>
          <w:tcPr>
            <w:tcW w:w="2204" w:type="dxa"/>
            <w:tcBorders>
              <w:top w:val="single" w:sz="4" w:space="0" w:color="auto"/>
              <w:bottom w:val="nil"/>
              <w:right w:val="single" w:sz="4" w:space="0" w:color="auto"/>
            </w:tcBorders>
          </w:tcPr>
          <w:p w14:paraId="55AF08DF" w14:textId="4D6F9B00" w:rsidR="00160298" w:rsidRPr="00C26C6D" w:rsidRDefault="00160298" w:rsidP="001E144B">
            <w:pPr>
              <w:spacing w:line="360" w:lineRule="auto"/>
              <w:rPr>
                <w:sz w:val="20"/>
                <w:szCs w:val="20"/>
              </w:rPr>
            </w:pPr>
            <w:r w:rsidRPr="00C26C6D">
              <w:rPr>
                <w:sz w:val="20"/>
                <w:szCs w:val="20"/>
              </w:rPr>
              <w:t xml:space="preserve">Constancy of monthly </w:t>
            </w:r>
            <w:r w:rsidR="001E144B">
              <w:rPr>
                <w:sz w:val="20"/>
                <w:szCs w:val="20"/>
              </w:rPr>
              <w:t>minimum</w:t>
            </w:r>
            <w:r w:rsidRPr="00C26C6D">
              <w:rPr>
                <w:sz w:val="20"/>
                <w:szCs w:val="20"/>
              </w:rPr>
              <w:t xml:space="preserve"> daily flow </w:t>
            </w:r>
          </w:p>
        </w:tc>
        <w:tc>
          <w:tcPr>
            <w:tcW w:w="1902" w:type="dxa"/>
            <w:tcBorders>
              <w:top w:val="single" w:sz="4" w:space="0" w:color="auto"/>
              <w:left w:val="single" w:sz="4" w:space="0" w:color="auto"/>
              <w:right w:val="single" w:sz="4" w:space="0" w:color="auto"/>
            </w:tcBorders>
          </w:tcPr>
          <w:p w14:paraId="36F43E16" w14:textId="1C499ACB" w:rsidR="00160298" w:rsidRPr="00C26C6D" w:rsidRDefault="00160298" w:rsidP="001E144B">
            <w:pPr>
              <w:spacing w:line="360" w:lineRule="auto"/>
              <w:rPr>
                <w:sz w:val="20"/>
                <w:szCs w:val="20"/>
              </w:rPr>
            </w:pPr>
            <w:r w:rsidRPr="00C26C6D">
              <w:rPr>
                <w:sz w:val="20"/>
                <w:szCs w:val="20"/>
              </w:rPr>
              <w:t>C_</w:t>
            </w:r>
            <w:r w:rsidR="001E144B">
              <w:rPr>
                <w:sz w:val="20"/>
                <w:szCs w:val="20"/>
              </w:rPr>
              <w:t>MinM</w:t>
            </w:r>
          </w:p>
        </w:tc>
        <w:tc>
          <w:tcPr>
            <w:tcW w:w="1559" w:type="dxa"/>
            <w:tcBorders>
              <w:top w:val="single" w:sz="4" w:space="0" w:color="auto"/>
              <w:left w:val="single" w:sz="4" w:space="0" w:color="auto"/>
              <w:right w:val="single" w:sz="4" w:space="0" w:color="auto"/>
            </w:tcBorders>
          </w:tcPr>
          <w:p w14:paraId="52FE9B1F" w14:textId="77777777" w:rsidR="00160298" w:rsidRPr="00C26C6D" w:rsidRDefault="00160298" w:rsidP="0092059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0C91D8E5" w14:textId="38A36B24" w:rsidR="00160298" w:rsidRPr="00C26C6D" w:rsidRDefault="00160298" w:rsidP="001E144B">
            <w:pPr>
              <w:spacing w:line="360" w:lineRule="auto"/>
              <w:rPr>
                <w:sz w:val="20"/>
                <w:szCs w:val="20"/>
              </w:rPr>
            </w:pPr>
            <w:r w:rsidRPr="00C26C6D">
              <w:rPr>
                <w:sz w:val="20"/>
                <w:szCs w:val="20"/>
              </w:rPr>
              <w:t xml:space="preserve">Colwell’s indices provide a measure of the seasonal predictability of flow </w:t>
            </w:r>
            <w:r w:rsidRPr="00C26C6D">
              <w:rPr>
                <w:sz w:val="20"/>
                <w:szCs w:val="20"/>
              </w:rPr>
              <w:lastRenderedPageBreak/>
              <w:t>events</w:t>
            </w:r>
            <w:r w:rsidR="001E144B">
              <w:rPr>
                <w:sz w:val="20"/>
                <w:szCs w:val="20"/>
              </w:rPr>
              <w:t>, and as such are a direct measure of heterogeneity in flow seasonality</w:t>
            </w:r>
            <w:r w:rsidRPr="00C26C6D">
              <w:rPr>
                <w:sz w:val="20"/>
                <w:szCs w:val="20"/>
              </w:rPr>
              <w:t xml:space="preserve">. </w:t>
            </w:r>
            <w:r w:rsidRPr="00C26C6D">
              <w:rPr>
                <w:iCs/>
                <w:sz w:val="20"/>
                <w:szCs w:val="20"/>
              </w:rPr>
              <w:t>Constancy</w:t>
            </w:r>
            <w:r w:rsidR="001E144B">
              <w:rPr>
                <w:sz w:val="20"/>
                <w:szCs w:val="20"/>
              </w:rPr>
              <w:t xml:space="preserve"> (C) </w:t>
            </w:r>
            <w:r w:rsidRPr="00C26C6D">
              <w:rPr>
                <w:sz w:val="20"/>
                <w:szCs w:val="20"/>
              </w:rPr>
              <w:t xml:space="preserve">measures uniformity of flow across seasons, and is maximised when flow conditions do not differ between seasons. </w:t>
            </w:r>
            <w:r w:rsidRPr="00C26C6D">
              <w:rPr>
                <w:iCs/>
                <w:sz w:val="20"/>
                <w:szCs w:val="20"/>
              </w:rPr>
              <w:t>Contingency (M)</w:t>
            </w:r>
            <w:r w:rsidRPr="00C26C6D">
              <w:rPr>
                <w:sz w:val="20"/>
                <w:szCs w:val="20"/>
              </w:rPr>
              <w:t xml:space="preserve"> is a measure of interannual uniformity in seasonal flow patterns, and is maximized when seasonal patterns of flow are consistent between years.  We generated Colwell’s indices for both </w:t>
            </w:r>
            <w:r w:rsidR="001E144B">
              <w:rPr>
                <w:sz w:val="20"/>
                <w:szCs w:val="20"/>
              </w:rPr>
              <w:t>minimum</w:t>
            </w:r>
            <w:r w:rsidRPr="00C26C6D">
              <w:rPr>
                <w:sz w:val="20"/>
                <w:szCs w:val="20"/>
              </w:rPr>
              <w:t xml:space="preserve"> and </w:t>
            </w:r>
            <w:r w:rsidR="001E144B">
              <w:rPr>
                <w:sz w:val="20"/>
                <w:szCs w:val="20"/>
              </w:rPr>
              <w:t>maximum</w:t>
            </w:r>
            <w:r w:rsidRPr="00C26C6D">
              <w:rPr>
                <w:sz w:val="20"/>
                <w:szCs w:val="20"/>
              </w:rPr>
              <w:t xml:space="preserve"> flows conditions.</w:t>
            </w:r>
          </w:p>
        </w:tc>
      </w:tr>
      <w:tr w:rsidR="00160298" w:rsidRPr="00C26C6D" w14:paraId="64B63EE5" w14:textId="77777777" w:rsidTr="00920594">
        <w:tc>
          <w:tcPr>
            <w:tcW w:w="2204" w:type="dxa"/>
            <w:tcBorders>
              <w:top w:val="nil"/>
              <w:bottom w:val="nil"/>
              <w:right w:val="single" w:sz="4" w:space="0" w:color="auto"/>
            </w:tcBorders>
          </w:tcPr>
          <w:p w14:paraId="287A218C" w14:textId="5DD895A4" w:rsidR="00160298" w:rsidRPr="00C26C6D" w:rsidRDefault="00160298" w:rsidP="00920594">
            <w:pPr>
              <w:spacing w:line="360" w:lineRule="auto"/>
              <w:rPr>
                <w:sz w:val="20"/>
                <w:szCs w:val="20"/>
              </w:rPr>
            </w:pPr>
            <w:r w:rsidRPr="00C26C6D">
              <w:rPr>
                <w:sz w:val="20"/>
                <w:szCs w:val="20"/>
              </w:rPr>
              <w:lastRenderedPageBreak/>
              <w:t xml:space="preserve">Contingency of monthly </w:t>
            </w:r>
            <w:r w:rsidR="001E144B">
              <w:rPr>
                <w:sz w:val="20"/>
                <w:szCs w:val="20"/>
              </w:rPr>
              <w:t>minimum</w:t>
            </w:r>
            <w:r w:rsidR="001E144B" w:rsidRPr="00C26C6D">
              <w:rPr>
                <w:sz w:val="20"/>
                <w:szCs w:val="20"/>
              </w:rPr>
              <w:t xml:space="preserve"> </w:t>
            </w:r>
            <w:r w:rsidRPr="00C26C6D">
              <w:rPr>
                <w:sz w:val="20"/>
                <w:szCs w:val="20"/>
              </w:rPr>
              <w:t xml:space="preserve">daily flow </w:t>
            </w:r>
          </w:p>
        </w:tc>
        <w:tc>
          <w:tcPr>
            <w:tcW w:w="1902" w:type="dxa"/>
            <w:tcBorders>
              <w:left w:val="single" w:sz="4" w:space="0" w:color="auto"/>
              <w:right w:val="single" w:sz="4" w:space="0" w:color="auto"/>
            </w:tcBorders>
          </w:tcPr>
          <w:p w14:paraId="7065AF4E" w14:textId="67AC9E8D" w:rsidR="00160298" w:rsidRPr="00C26C6D" w:rsidRDefault="00160298" w:rsidP="001E144B">
            <w:pPr>
              <w:spacing w:line="360" w:lineRule="auto"/>
              <w:rPr>
                <w:sz w:val="20"/>
                <w:szCs w:val="20"/>
              </w:rPr>
            </w:pPr>
            <w:r w:rsidRPr="00C26C6D">
              <w:rPr>
                <w:sz w:val="20"/>
                <w:szCs w:val="20"/>
              </w:rPr>
              <w:t>M_M</w:t>
            </w:r>
            <w:r w:rsidR="001E144B">
              <w:rPr>
                <w:sz w:val="20"/>
                <w:szCs w:val="20"/>
              </w:rPr>
              <w:t>in</w:t>
            </w:r>
            <w:r w:rsidRPr="00C26C6D">
              <w:rPr>
                <w:sz w:val="20"/>
                <w:szCs w:val="20"/>
              </w:rPr>
              <w:t>M</w:t>
            </w:r>
          </w:p>
        </w:tc>
        <w:tc>
          <w:tcPr>
            <w:tcW w:w="1559" w:type="dxa"/>
            <w:tcBorders>
              <w:left w:val="single" w:sz="4" w:space="0" w:color="auto"/>
              <w:right w:val="single" w:sz="4" w:space="0" w:color="auto"/>
            </w:tcBorders>
          </w:tcPr>
          <w:p w14:paraId="08032D10" w14:textId="77777777" w:rsidR="00160298" w:rsidRPr="00C26C6D" w:rsidRDefault="00160298" w:rsidP="0092059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7CE47DAD" w14:textId="77777777" w:rsidR="00160298" w:rsidRPr="00C26C6D" w:rsidRDefault="00160298" w:rsidP="00920594">
            <w:pPr>
              <w:spacing w:line="360" w:lineRule="auto"/>
              <w:rPr>
                <w:sz w:val="20"/>
                <w:szCs w:val="20"/>
              </w:rPr>
            </w:pPr>
          </w:p>
        </w:tc>
      </w:tr>
      <w:tr w:rsidR="00160298" w:rsidRPr="00C26C6D" w14:paraId="750417AF" w14:textId="77777777" w:rsidTr="00920594">
        <w:tc>
          <w:tcPr>
            <w:tcW w:w="2204" w:type="dxa"/>
            <w:tcBorders>
              <w:top w:val="nil"/>
              <w:bottom w:val="nil"/>
              <w:right w:val="single" w:sz="4" w:space="0" w:color="auto"/>
            </w:tcBorders>
          </w:tcPr>
          <w:p w14:paraId="3E97CA82" w14:textId="074DE152" w:rsidR="00160298" w:rsidRPr="00C26C6D" w:rsidRDefault="00160298" w:rsidP="001E144B">
            <w:pPr>
              <w:spacing w:line="360" w:lineRule="auto"/>
              <w:rPr>
                <w:sz w:val="20"/>
                <w:szCs w:val="20"/>
              </w:rPr>
            </w:pPr>
            <w:r w:rsidRPr="00C26C6D">
              <w:rPr>
                <w:sz w:val="20"/>
                <w:szCs w:val="20"/>
              </w:rPr>
              <w:lastRenderedPageBreak/>
              <w:t xml:space="preserve">Constancy based on monthly </w:t>
            </w:r>
            <w:r w:rsidR="001E144B">
              <w:rPr>
                <w:sz w:val="20"/>
                <w:szCs w:val="20"/>
              </w:rPr>
              <w:t>maximum</w:t>
            </w:r>
            <w:r w:rsidRPr="00C26C6D">
              <w:rPr>
                <w:sz w:val="20"/>
                <w:szCs w:val="20"/>
              </w:rPr>
              <w:t xml:space="preserve"> daily flow</w:t>
            </w:r>
          </w:p>
        </w:tc>
        <w:tc>
          <w:tcPr>
            <w:tcW w:w="1902" w:type="dxa"/>
            <w:tcBorders>
              <w:left w:val="single" w:sz="4" w:space="0" w:color="auto"/>
              <w:right w:val="single" w:sz="4" w:space="0" w:color="auto"/>
            </w:tcBorders>
          </w:tcPr>
          <w:p w14:paraId="6040A59B" w14:textId="0BA77C40" w:rsidR="00160298" w:rsidRPr="00C26C6D" w:rsidRDefault="00160298" w:rsidP="001E144B">
            <w:pPr>
              <w:spacing w:line="360" w:lineRule="auto"/>
              <w:rPr>
                <w:sz w:val="20"/>
                <w:szCs w:val="20"/>
              </w:rPr>
            </w:pPr>
            <w:r w:rsidRPr="00C26C6D">
              <w:rPr>
                <w:sz w:val="20"/>
                <w:szCs w:val="20"/>
              </w:rPr>
              <w:t>C_M</w:t>
            </w:r>
            <w:r w:rsidR="001E144B">
              <w:rPr>
                <w:sz w:val="20"/>
                <w:szCs w:val="20"/>
              </w:rPr>
              <w:t>ax</w:t>
            </w:r>
            <w:r w:rsidRPr="00C26C6D">
              <w:rPr>
                <w:sz w:val="20"/>
                <w:szCs w:val="20"/>
              </w:rPr>
              <w:t>M</w:t>
            </w:r>
          </w:p>
        </w:tc>
        <w:tc>
          <w:tcPr>
            <w:tcW w:w="1559" w:type="dxa"/>
            <w:tcBorders>
              <w:left w:val="single" w:sz="4" w:space="0" w:color="auto"/>
              <w:right w:val="single" w:sz="4" w:space="0" w:color="auto"/>
            </w:tcBorders>
          </w:tcPr>
          <w:p w14:paraId="2B1E16FB" w14:textId="77777777" w:rsidR="00160298" w:rsidRPr="00C26C6D" w:rsidRDefault="00160298" w:rsidP="0092059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3C6475B3" w14:textId="77777777" w:rsidR="00160298" w:rsidRPr="00C26C6D" w:rsidRDefault="00160298" w:rsidP="00920594">
            <w:pPr>
              <w:spacing w:line="360" w:lineRule="auto"/>
              <w:rPr>
                <w:sz w:val="20"/>
                <w:szCs w:val="20"/>
              </w:rPr>
            </w:pPr>
          </w:p>
        </w:tc>
      </w:tr>
      <w:tr w:rsidR="00160298" w:rsidRPr="00C26C6D" w14:paraId="1F28B7A1" w14:textId="77777777" w:rsidTr="00920594">
        <w:tc>
          <w:tcPr>
            <w:tcW w:w="2204" w:type="dxa"/>
            <w:tcBorders>
              <w:top w:val="nil"/>
              <w:bottom w:val="single" w:sz="4" w:space="0" w:color="auto"/>
              <w:right w:val="single" w:sz="4" w:space="0" w:color="auto"/>
            </w:tcBorders>
          </w:tcPr>
          <w:p w14:paraId="390D959A" w14:textId="356A463B" w:rsidR="00160298" w:rsidRPr="00C26C6D" w:rsidRDefault="00160298" w:rsidP="00920594">
            <w:pPr>
              <w:spacing w:line="360" w:lineRule="auto"/>
              <w:rPr>
                <w:sz w:val="20"/>
                <w:szCs w:val="20"/>
              </w:rPr>
            </w:pPr>
            <w:r w:rsidRPr="00C26C6D">
              <w:rPr>
                <w:sz w:val="20"/>
                <w:szCs w:val="20"/>
              </w:rPr>
              <w:t xml:space="preserve">Contingency based on monthly </w:t>
            </w:r>
            <w:r w:rsidR="001E144B">
              <w:rPr>
                <w:sz w:val="20"/>
                <w:szCs w:val="20"/>
              </w:rPr>
              <w:t>maximum</w:t>
            </w:r>
            <w:r w:rsidR="001E144B" w:rsidRPr="00C26C6D">
              <w:rPr>
                <w:sz w:val="20"/>
                <w:szCs w:val="20"/>
              </w:rPr>
              <w:t xml:space="preserve"> </w:t>
            </w:r>
            <w:r w:rsidRPr="00C26C6D">
              <w:rPr>
                <w:sz w:val="20"/>
                <w:szCs w:val="20"/>
              </w:rPr>
              <w:t xml:space="preserve">daily flow </w:t>
            </w:r>
          </w:p>
        </w:tc>
        <w:tc>
          <w:tcPr>
            <w:tcW w:w="1902" w:type="dxa"/>
            <w:tcBorders>
              <w:left w:val="single" w:sz="4" w:space="0" w:color="auto"/>
              <w:bottom w:val="single" w:sz="4" w:space="0" w:color="auto"/>
              <w:right w:val="single" w:sz="4" w:space="0" w:color="auto"/>
            </w:tcBorders>
          </w:tcPr>
          <w:p w14:paraId="593106B1" w14:textId="378512DA" w:rsidR="00160298" w:rsidRPr="00C26C6D" w:rsidRDefault="00160298" w:rsidP="001E144B">
            <w:pPr>
              <w:spacing w:line="360" w:lineRule="auto"/>
              <w:rPr>
                <w:sz w:val="20"/>
                <w:szCs w:val="20"/>
              </w:rPr>
            </w:pPr>
            <w:r w:rsidRPr="00C26C6D">
              <w:rPr>
                <w:sz w:val="20"/>
                <w:szCs w:val="20"/>
              </w:rPr>
              <w:t>M_M</w:t>
            </w:r>
            <w:r w:rsidR="001E144B">
              <w:rPr>
                <w:sz w:val="20"/>
                <w:szCs w:val="20"/>
              </w:rPr>
              <w:t>ax</w:t>
            </w:r>
            <w:r w:rsidRPr="00C26C6D">
              <w:rPr>
                <w:sz w:val="20"/>
                <w:szCs w:val="20"/>
              </w:rPr>
              <w:t>M</w:t>
            </w:r>
          </w:p>
        </w:tc>
        <w:tc>
          <w:tcPr>
            <w:tcW w:w="1559" w:type="dxa"/>
            <w:tcBorders>
              <w:left w:val="single" w:sz="4" w:space="0" w:color="auto"/>
              <w:bottom w:val="single" w:sz="4" w:space="0" w:color="auto"/>
              <w:right w:val="single" w:sz="4" w:space="0" w:color="auto"/>
            </w:tcBorders>
          </w:tcPr>
          <w:p w14:paraId="48DA94A9" w14:textId="77777777" w:rsidR="00160298" w:rsidRPr="00C26C6D" w:rsidRDefault="00160298" w:rsidP="0092059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0485E181" w14:textId="77777777" w:rsidR="00160298" w:rsidRPr="00C26C6D" w:rsidRDefault="00160298" w:rsidP="00920594">
            <w:pPr>
              <w:spacing w:line="360" w:lineRule="auto"/>
              <w:rPr>
                <w:sz w:val="20"/>
                <w:szCs w:val="20"/>
              </w:rPr>
            </w:pPr>
          </w:p>
        </w:tc>
      </w:tr>
      <w:tr w:rsidR="00160298" w:rsidRPr="00C26C6D" w14:paraId="011C0732" w14:textId="77777777" w:rsidTr="00920594">
        <w:tc>
          <w:tcPr>
            <w:tcW w:w="9016" w:type="dxa"/>
            <w:gridSpan w:val="4"/>
            <w:tcBorders>
              <w:top w:val="single" w:sz="4" w:space="0" w:color="auto"/>
              <w:bottom w:val="single" w:sz="4" w:space="0" w:color="auto"/>
            </w:tcBorders>
          </w:tcPr>
          <w:p w14:paraId="781963F1" w14:textId="77777777" w:rsidR="00160298" w:rsidRPr="00C26C6D" w:rsidRDefault="00160298" w:rsidP="00920594">
            <w:pPr>
              <w:spacing w:line="360" w:lineRule="auto"/>
              <w:rPr>
                <w:i/>
                <w:sz w:val="20"/>
                <w:szCs w:val="20"/>
              </w:rPr>
            </w:pPr>
            <w:r w:rsidRPr="00C26C6D">
              <w:rPr>
                <w:i/>
                <w:sz w:val="20"/>
                <w:szCs w:val="20"/>
              </w:rPr>
              <w:t xml:space="preserve">Flow seasonality </w:t>
            </w:r>
          </w:p>
        </w:tc>
      </w:tr>
      <w:tr w:rsidR="00160298" w:rsidRPr="00C26C6D" w14:paraId="1BF53682" w14:textId="77777777" w:rsidTr="00920594">
        <w:tc>
          <w:tcPr>
            <w:tcW w:w="2204" w:type="dxa"/>
            <w:tcBorders>
              <w:top w:val="single" w:sz="4" w:space="0" w:color="auto"/>
              <w:bottom w:val="nil"/>
              <w:right w:val="single" w:sz="4" w:space="0" w:color="auto"/>
            </w:tcBorders>
          </w:tcPr>
          <w:p w14:paraId="2B4CB958" w14:textId="2671786B" w:rsidR="00160298" w:rsidRPr="00C26C6D" w:rsidRDefault="00160298" w:rsidP="00920594">
            <w:pPr>
              <w:spacing w:line="360" w:lineRule="auto"/>
              <w:rPr>
                <w:sz w:val="20"/>
                <w:szCs w:val="20"/>
              </w:rPr>
            </w:pPr>
          </w:p>
        </w:tc>
        <w:tc>
          <w:tcPr>
            <w:tcW w:w="1902" w:type="dxa"/>
            <w:tcBorders>
              <w:top w:val="single" w:sz="4" w:space="0" w:color="auto"/>
              <w:left w:val="single" w:sz="4" w:space="0" w:color="auto"/>
              <w:right w:val="single" w:sz="4" w:space="0" w:color="auto"/>
            </w:tcBorders>
          </w:tcPr>
          <w:p w14:paraId="396F36F1" w14:textId="65270ED9" w:rsidR="00160298" w:rsidRPr="00C26C6D" w:rsidRDefault="00160298" w:rsidP="00920594">
            <w:pPr>
              <w:spacing w:line="360" w:lineRule="auto"/>
              <w:rPr>
                <w:sz w:val="20"/>
                <w:szCs w:val="20"/>
              </w:rPr>
            </w:pPr>
          </w:p>
        </w:tc>
        <w:tc>
          <w:tcPr>
            <w:tcW w:w="1559" w:type="dxa"/>
            <w:tcBorders>
              <w:top w:val="single" w:sz="4" w:space="0" w:color="auto"/>
              <w:left w:val="single" w:sz="4" w:space="0" w:color="auto"/>
              <w:right w:val="single" w:sz="4" w:space="0" w:color="auto"/>
            </w:tcBorders>
          </w:tcPr>
          <w:p w14:paraId="7A9B95F3" w14:textId="1EA61958" w:rsidR="00160298" w:rsidRPr="00C26C6D" w:rsidRDefault="00160298" w:rsidP="00920594">
            <w:pPr>
              <w:spacing w:line="360" w:lineRule="auto"/>
              <w:rPr>
                <w:sz w:val="20"/>
                <w:szCs w:val="20"/>
              </w:rPr>
            </w:pPr>
          </w:p>
        </w:tc>
        <w:tc>
          <w:tcPr>
            <w:tcW w:w="3351" w:type="dxa"/>
            <w:vMerge w:val="restart"/>
            <w:tcBorders>
              <w:top w:val="single" w:sz="4" w:space="0" w:color="auto"/>
              <w:left w:val="single" w:sz="4" w:space="0" w:color="auto"/>
            </w:tcBorders>
          </w:tcPr>
          <w:p w14:paraId="3DD47E11" w14:textId="3CF04812" w:rsidR="00160298" w:rsidRPr="00C26C6D" w:rsidRDefault="00160298" w:rsidP="00920594">
            <w:pPr>
              <w:spacing w:line="360" w:lineRule="auto"/>
              <w:rPr>
                <w:sz w:val="20"/>
                <w:szCs w:val="20"/>
              </w:rPr>
            </w:pPr>
            <w:r w:rsidRPr="00C26C6D">
              <w:rPr>
                <w:sz w:val="20"/>
                <w:szCs w:val="20"/>
              </w:rPr>
              <w:t>These metrics describe the average magnitude and variability within mean daily flows for each season</w:t>
            </w:r>
            <w:r w:rsidR="006373B2">
              <w:rPr>
                <w:sz w:val="20"/>
                <w:szCs w:val="20"/>
              </w:rPr>
              <w:t xml:space="preserve"> (dry = May to October, wet = November to April)</w:t>
            </w:r>
            <w:r w:rsidRPr="00C26C6D">
              <w:rPr>
                <w:sz w:val="20"/>
                <w:szCs w:val="20"/>
              </w:rPr>
              <w:t>.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0C0AF0" w:rsidRPr="00C26C6D" w14:paraId="524D3B9C" w14:textId="77777777" w:rsidTr="00DB3035">
        <w:trPr>
          <w:trHeight w:val="1941"/>
        </w:trPr>
        <w:tc>
          <w:tcPr>
            <w:tcW w:w="2204" w:type="dxa"/>
            <w:tcBorders>
              <w:top w:val="nil"/>
              <w:right w:val="single" w:sz="4" w:space="0" w:color="auto"/>
            </w:tcBorders>
          </w:tcPr>
          <w:p w14:paraId="19369B1C" w14:textId="77777777" w:rsidR="000C0AF0" w:rsidRPr="00C26C6D" w:rsidRDefault="000C0AF0" w:rsidP="000C0AF0">
            <w:pPr>
              <w:spacing w:line="360" w:lineRule="auto"/>
            </w:pPr>
            <w:r w:rsidRPr="00C26C6D">
              <w:t xml:space="preserve">Average mean daily </w:t>
            </w:r>
            <w:r>
              <w:t xml:space="preserve">dry season </w:t>
            </w:r>
            <w:r w:rsidRPr="00C26C6D">
              <w:t>flow *</w:t>
            </w:r>
          </w:p>
          <w:p w14:paraId="2938D505" w14:textId="5EE93EFC" w:rsidR="000C0AF0" w:rsidRPr="00C26C6D" w:rsidRDefault="000C0AF0" w:rsidP="000C0AF0">
            <w:pPr>
              <w:spacing w:line="360" w:lineRule="auto"/>
            </w:pPr>
            <w:r w:rsidRPr="00C26C6D">
              <w:t xml:space="preserve">Average mean daily </w:t>
            </w:r>
            <w:r>
              <w:t xml:space="preserve">wet season </w:t>
            </w:r>
            <w:r w:rsidRPr="00C26C6D">
              <w:t>flow *</w:t>
            </w:r>
          </w:p>
        </w:tc>
        <w:tc>
          <w:tcPr>
            <w:tcW w:w="1902" w:type="dxa"/>
            <w:tcBorders>
              <w:left w:val="single" w:sz="4" w:space="0" w:color="auto"/>
              <w:right w:val="single" w:sz="4" w:space="0" w:color="auto"/>
            </w:tcBorders>
          </w:tcPr>
          <w:p w14:paraId="56BC3350" w14:textId="77777777" w:rsidR="000C0AF0" w:rsidRDefault="000C0AF0" w:rsidP="000C0AF0">
            <w:pPr>
              <w:spacing w:line="360" w:lineRule="auto"/>
            </w:pPr>
            <w:r w:rsidRPr="00C26C6D">
              <w:t>MDFMDF</w:t>
            </w:r>
            <w:r>
              <w:t>Dry</w:t>
            </w:r>
          </w:p>
          <w:p w14:paraId="273B373E" w14:textId="77777777" w:rsidR="000C0AF0" w:rsidRPr="00C26C6D" w:rsidRDefault="000C0AF0" w:rsidP="000C0AF0">
            <w:pPr>
              <w:spacing w:line="360" w:lineRule="auto"/>
            </w:pPr>
          </w:p>
          <w:p w14:paraId="0450F8B6" w14:textId="0D096373" w:rsidR="000C0AF0" w:rsidRPr="00C26C6D" w:rsidRDefault="000C0AF0" w:rsidP="000C0AF0">
            <w:pPr>
              <w:spacing w:line="360" w:lineRule="auto"/>
            </w:pPr>
            <w:r w:rsidRPr="00C26C6D">
              <w:t>MDFMDFW</w:t>
            </w:r>
            <w:r>
              <w:t>et</w:t>
            </w:r>
          </w:p>
        </w:tc>
        <w:tc>
          <w:tcPr>
            <w:tcW w:w="1559" w:type="dxa"/>
            <w:tcBorders>
              <w:left w:val="single" w:sz="4" w:space="0" w:color="auto"/>
              <w:right w:val="single" w:sz="4" w:space="0" w:color="auto"/>
            </w:tcBorders>
          </w:tcPr>
          <w:p w14:paraId="0A5687B8" w14:textId="1AB712D4" w:rsidR="000C0AF0" w:rsidRDefault="000C0AF0" w:rsidP="00920594">
            <w:pPr>
              <w:spacing w:line="360" w:lineRule="auto"/>
            </w:pPr>
            <w:r>
              <w:t>d</w:t>
            </w:r>
            <w:r w:rsidRPr="00C26C6D">
              <w:t>imensionless</w:t>
            </w:r>
          </w:p>
          <w:p w14:paraId="25C31061" w14:textId="77777777" w:rsidR="000C0AF0" w:rsidRPr="00C26C6D" w:rsidRDefault="000C0AF0" w:rsidP="00920594">
            <w:pPr>
              <w:spacing w:line="360" w:lineRule="auto"/>
            </w:pPr>
          </w:p>
          <w:p w14:paraId="31621411" w14:textId="34A150A5" w:rsidR="000C0AF0" w:rsidRPr="00C26C6D" w:rsidRDefault="000C0AF0" w:rsidP="00920594">
            <w:pPr>
              <w:spacing w:line="360" w:lineRule="auto"/>
            </w:pPr>
            <w:r w:rsidRPr="00C26C6D">
              <w:t>dimensionless</w:t>
            </w:r>
          </w:p>
        </w:tc>
        <w:tc>
          <w:tcPr>
            <w:tcW w:w="3351" w:type="dxa"/>
            <w:vMerge/>
            <w:tcBorders>
              <w:left w:val="single" w:sz="4" w:space="0" w:color="auto"/>
            </w:tcBorders>
          </w:tcPr>
          <w:p w14:paraId="1AA8A1A0" w14:textId="77777777" w:rsidR="000C0AF0" w:rsidRPr="00C26C6D" w:rsidRDefault="000C0AF0" w:rsidP="00920594">
            <w:pPr>
              <w:spacing w:line="360" w:lineRule="auto"/>
            </w:pPr>
          </w:p>
        </w:tc>
      </w:tr>
      <w:tr w:rsidR="000C0AF0" w:rsidRPr="00C26C6D" w14:paraId="2B21DB06" w14:textId="77777777" w:rsidTr="00625819">
        <w:trPr>
          <w:trHeight w:val="1941"/>
        </w:trPr>
        <w:tc>
          <w:tcPr>
            <w:tcW w:w="2204" w:type="dxa"/>
            <w:tcBorders>
              <w:top w:val="nil"/>
              <w:right w:val="single" w:sz="4" w:space="0" w:color="auto"/>
            </w:tcBorders>
          </w:tcPr>
          <w:p w14:paraId="1440A2A8" w14:textId="77777777" w:rsidR="000C0AF0" w:rsidRPr="00C26C6D" w:rsidRDefault="000C0AF0" w:rsidP="000C0AF0">
            <w:pPr>
              <w:spacing w:line="360" w:lineRule="auto"/>
            </w:pPr>
            <w:r w:rsidRPr="00C26C6D">
              <w:t xml:space="preserve">CV of mean daily </w:t>
            </w:r>
            <w:r>
              <w:t xml:space="preserve">dry season </w:t>
            </w:r>
            <w:r w:rsidRPr="00C26C6D">
              <w:t>flow</w:t>
            </w:r>
          </w:p>
          <w:p w14:paraId="6F3DC248" w14:textId="0EACC107" w:rsidR="000C0AF0" w:rsidRPr="00C26C6D" w:rsidRDefault="000C0AF0" w:rsidP="00920594">
            <w:pPr>
              <w:spacing w:line="360" w:lineRule="auto"/>
            </w:pPr>
            <w:r w:rsidRPr="00C26C6D">
              <w:t xml:space="preserve">CV of mean daily </w:t>
            </w:r>
            <w:r>
              <w:t xml:space="preserve">dry season </w:t>
            </w:r>
            <w:r w:rsidRPr="00C26C6D">
              <w:t>flow</w:t>
            </w:r>
          </w:p>
        </w:tc>
        <w:tc>
          <w:tcPr>
            <w:tcW w:w="1902" w:type="dxa"/>
            <w:tcBorders>
              <w:left w:val="single" w:sz="4" w:space="0" w:color="auto"/>
              <w:right w:val="single" w:sz="4" w:space="0" w:color="auto"/>
            </w:tcBorders>
          </w:tcPr>
          <w:p w14:paraId="620656D8" w14:textId="77777777" w:rsidR="000C0AF0" w:rsidRDefault="000C0AF0" w:rsidP="000C0AF0">
            <w:pPr>
              <w:spacing w:line="360" w:lineRule="auto"/>
            </w:pPr>
            <w:r w:rsidRPr="00C26C6D">
              <w:t>CVMDF</w:t>
            </w:r>
            <w:r>
              <w:t>Dry</w:t>
            </w:r>
          </w:p>
          <w:p w14:paraId="731EBD8B" w14:textId="77777777" w:rsidR="000C0AF0" w:rsidRPr="00C26C6D" w:rsidRDefault="000C0AF0" w:rsidP="000C0AF0">
            <w:pPr>
              <w:spacing w:line="360" w:lineRule="auto"/>
            </w:pPr>
          </w:p>
          <w:p w14:paraId="2F533AB2" w14:textId="283E9A93" w:rsidR="000C0AF0" w:rsidRPr="00C26C6D" w:rsidRDefault="000C0AF0" w:rsidP="000C0AF0">
            <w:pPr>
              <w:spacing w:line="360" w:lineRule="auto"/>
            </w:pPr>
            <w:r w:rsidRPr="00C26C6D">
              <w:t>CVMDF</w:t>
            </w:r>
            <w:r>
              <w:t>Wet</w:t>
            </w:r>
          </w:p>
        </w:tc>
        <w:tc>
          <w:tcPr>
            <w:tcW w:w="1559" w:type="dxa"/>
            <w:tcBorders>
              <w:left w:val="single" w:sz="4" w:space="0" w:color="auto"/>
              <w:right w:val="single" w:sz="4" w:space="0" w:color="auto"/>
            </w:tcBorders>
          </w:tcPr>
          <w:p w14:paraId="0FCC1E31" w14:textId="30663AE4" w:rsidR="000C0AF0" w:rsidRDefault="0012782E" w:rsidP="00920594">
            <w:pPr>
              <w:spacing w:line="360" w:lineRule="auto"/>
            </w:pPr>
            <w:r>
              <w:t>d</w:t>
            </w:r>
            <w:r w:rsidR="000C0AF0" w:rsidRPr="00C26C6D">
              <w:t>imensionless</w:t>
            </w:r>
          </w:p>
          <w:p w14:paraId="7D5A6AD0" w14:textId="77777777" w:rsidR="000C0AF0" w:rsidRPr="00C26C6D" w:rsidRDefault="000C0AF0" w:rsidP="00920594">
            <w:pPr>
              <w:spacing w:line="360" w:lineRule="auto"/>
            </w:pPr>
          </w:p>
          <w:p w14:paraId="26FF7FEE" w14:textId="24AEF77F" w:rsidR="000C0AF0" w:rsidRPr="00C26C6D" w:rsidRDefault="000C0AF0" w:rsidP="00920594">
            <w:pPr>
              <w:spacing w:line="360" w:lineRule="auto"/>
            </w:pPr>
            <w:r w:rsidRPr="00C26C6D">
              <w:t>dimensionless</w:t>
            </w:r>
          </w:p>
        </w:tc>
        <w:tc>
          <w:tcPr>
            <w:tcW w:w="3351" w:type="dxa"/>
            <w:vMerge/>
            <w:tcBorders>
              <w:left w:val="single" w:sz="4" w:space="0" w:color="auto"/>
            </w:tcBorders>
          </w:tcPr>
          <w:p w14:paraId="32DB88F5" w14:textId="77777777" w:rsidR="000C0AF0" w:rsidRPr="00C26C6D" w:rsidRDefault="000C0AF0" w:rsidP="00920594">
            <w:pPr>
              <w:spacing w:line="360" w:lineRule="auto"/>
            </w:pPr>
          </w:p>
        </w:tc>
      </w:tr>
    </w:tbl>
    <w:p w14:paraId="298B4DE8" w14:textId="77777777" w:rsidR="00160298" w:rsidRPr="00C73E16" w:rsidRDefault="00160298" w:rsidP="00966029">
      <w:pPr>
        <w:spacing w:line="360" w:lineRule="auto"/>
      </w:pPr>
    </w:p>
    <w:p w14:paraId="3D27AC79" w14:textId="77777777" w:rsidR="000A5AEF" w:rsidRPr="00C73E16" w:rsidRDefault="000A5AEF" w:rsidP="00966029">
      <w:pPr>
        <w:spacing w:line="360" w:lineRule="auto"/>
      </w:pPr>
      <w:r w:rsidRPr="00C73E16">
        <w:rPr>
          <w:i/>
        </w:rPr>
        <w:t>Other environmental variables</w:t>
      </w:r>
    </w:p>
    <w:p w14:paraId="30DF58DC" w14:textId="52EF9000" w:rsidR="00966029" w:rsidRPr="00461580" w:rsidRDefault="00C73E16" w:rsidP="00966029">
      <w:pPr>
        <w:spacing w:line="360" w:lineRule="auto"/>
      </w:pPr>
      <w:r w:rsidRPr="00C73E16">
        <w:t>Data on</w:t>
      </w:r>
      <w:r w:rsidR="00684B42">
        <w:t xml:space="preserve"> upstream</w:t>
      </w:r>
      <w:r w:rsidRPr="00C73E16">
        <w:t xml:space="preserve"> land use </w:t>
      </w:r>
      <w:r w:rsidR="00684B42">
        <w:t>were</w:t>
      </w:r>
      <w:r w:rsidRPr="00C73E16">
        <w:t xml:space="preserve"> obtained </w:t>
      </w:r>
      <w:r>
        <w:t xml:space="preserve">via </w:t>
      </w:r>
      <w:r w:rsidRPr="00C73E16">
        <w:t xml:space="preserve">the </w:t>
      </w:r>
      <w:r>
        <w:t>Queensland Land Use Mapping Program (QLUMP) and dataset</w:t>
      </w:r>
      <w:r w:rsidR="00CC70E2">
        <w:t xml:space="preserve"> </w:t>
      </w:r>
      <w:r w:rsidR="00CC70E2">
        <w:fldChar w:fldCharType="begin" w:fldLock="1"/>
      </w:r>
      <w:r w:rsidR="00CC70E2">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00CC70E2">
        <w:fldChar w:fldCharType="separate"/>
      </w:r>
      <w:r w:rsidR="00CC70E2" w:rsidRPr="00CC70E2">
        <w:rPr>
          <w:noProof/>
        </w:rPr>
        <w:t xml:space="preserve">(Witte </w:t>
      </w:r>
      <w:r w:rsidR="00CC70E2" w:rsidRPr="00CC70E2">
        <w:rPr>
          <w:i/>
          <w:noProof/>
        </w:rPr>
        <w:t>et al.</w:t>
      </w:r>
      <w:r w:rsidR="00CC70E2" w:rsidRPr="00CC70E2">
        <w:rPr>
          <w:noProof/>
        </w:rPr>
        <w:t xml:space="preserve"> 2006)</w:t>
      </w:r>
      <w:r w:rsidR="00CC70E2">
        <w:fldChar w:fldCharType="end"/>
      </w:r>
      <w:r w:rsidR="00CC70E2">
        <w:t xml:space="preserve">. </w:t>
      </w:r>
      <w:r>
        <w:t>This data was generated from surveys conducted in 1999</w:t>
      </w:r>
      <w:r w:rsidR="00684B42">
        <w:t xml:space="preserve"> and 2006. </w:t>
      </w:r>
      <w:r w:rsidR="007F4151">
        <w:t>Land use was categori</w:t>
      </w:r>
      <w:r w:rsidR="00461580">
        <w:t>s</w:t>
      </w:r>
      <w:r w:rsidR="007F4151">
        <w:t>ed</w:t>
      </w:r>
      <w:r w:rsidR="00684B42">
        <w:t xml:space="preserve"> according to the Australian Land use and Management Classification version 6 </w:t>
      </w:r>
      <w:r w:rsidR="00CC70E2" w:rsidRPr="002E0A73">
        <w:fldChar w:fldCharType="begin" w:fldLock="1"/>
      </w:r>
      <w:r w:rsidR="00581C80">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00CC70E2" w:rsidRPr="002E0A73">
        <w:fldChar w:fldCharType="separate"/>
      </w:r>
      <w:r w:rsidR="00CC70E2" w:rsidRPr="002E0A73">
        <w:rPr>
          <w:noProof/>
        </w:rPr>
        <w:t>(BRS 2002)</w:t>
      </w:r>
      <w:r w:rsidR="00CC70E2" w:rsidRPr="002E0A73">
        <w:fldChar w:fldCharType="end"/>
      </w:r>
      <w:r w:rsidR="00684B42">
        <w:t>, which differentiates conservation and low impact land uses from intensive land uses. Percentages of upstream land use were calculated as:</w:t>
      </w:r>
      <w:r w:rsidR="00684B42" w:rsidRPr="00966029">
        <w:t xml:space="preserve"> production from relatively natural environments (forestry, grazing natural vegetation), dryland agriculture and plantations (e.g. </w:t>
      </w:r>
      <w:r w:rsidR="00684B42" w:rsidRPr="00966029">
        <w:lastRenderedPageBreak/>
        <w:t>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Petersen et al. (2010</w:t>
      </w:r>
      <w:r w:rsidR="00684B42" w:rsidRPr="00461580">
        <w:t>).</w:t>
      </w:r>
      <w:r w:rsidR="007F4151" w:rsidRPr="00461580">
        <w:t xml:space="preserve"> </w:t>
      </w:r>
    </w:p>
    <w:p w14:paraId="4C8809E5" w14:textId="709119CE" w:rsidR="00326571" w:rsidRDefault="00966029" w:rsidP="00326571">
      <w:pPr>
        <w:spacing w:line="360" w:lineRule="auto"/>
      </w:pPr>
      <w:r w:rsidRPr="00461580">
        <w:t xml:space="preserve">Climate data were obtained from eMast/TERN, at a resolution of 0.01 degrees </w:t>
      </w:r>
      <w:r w:rsidRPr="00461580">
        <w:fldChar w:fldCharType="begin" w:fldLock="1"/>
      </w:r>
      <w:r w:rsidR="00326571">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461580">
        <w:fldChar w:fldCharType="separate"/>
      </w:r>
      <w:r w:rsidR="00326571" w:rsidRPr="00326571">
        <w:rPr>
          <w:noProof/>
        </w:rPr>
        <w:t>(Hutchinson, Kesteven &amp; Tingbao 2014)</w:t>
      </w:r>
      <w:r w:rsidRPr="00461580">
        <w:fldChar w:fldCharType="end"/>
      </w:r>
      <w:r w:rsidR="00CC70E2">
        <w:t xml:space="preserve">. </w:t>
      </w:r>
      <w:r w:rsidRPr="00461580">
        <w:t xml:space="preserve">Bioclimatic variables representing annual trends, seasonality and extremes were calculated following the BIOCLIM framework </w:t>
      </w:r>
      <w:r w:rsidRPr="00461580">
        <w:fldChar w:fldCharType="begin" w:fldLock="1"/>
      </w:r>
      <w:r w:rsidR="00326571">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461580">
        <w:fldChar w:fldCharType="separate"/>
      </w:r>
      <w:r w:rsidR="00326571" w:rsidRPr="00326571">
        <w:rPr>
          <w:noProof/>
        </w:rPr>
        <w:t>(Busby 1991)</w:t>
      </w:r>
      <w:r w:rsidRPr="00461580">
        <w:fldChar w:fldCharType="end"/>
      </w:r>
      <w:r w:rsidRPr="00461580">
        <w:t xml:space="preserve">. </w:t>
      </w:r>
      <w:r w:rsidR="00CC70E2">
        <w:t xml:space="preserve">The resulting set of 19 climate variables were strongly collinear, PCA was used to identify a subset of 6 variables which represented over 90 % of the variation in the data. </w:t>
      </w:r>
      <w:r w:rsidRPr="00461580">
        <w:t xml:space="preserve">Soil data were taken from the CSIRO Soil and Landscape Grid of Australia, at a resolution of 3 arc seconds (~ 3 m) </w:t>
      </w:r>
      <w:r w:rsidRPr="00461580">
        <w:fldChar w:fldCharType="begin" w:fldLock="1"/>
      </w:r>
      <w:r w:rsidR="00326571">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461580">
        <w:fldChar w:fldCharType="separate"/>
      </w:r>
      <w:r w:rsidRPr="00461580">
        <w:rPr>
          <w:noProof/>
        </w:rPr>
        <w:t xml:space="preserve">(Rossel </w:t>
      </w:r>
      <w:r w:rsidRPr="00461580">
        <w:rPr>
          <w:i/>
          <w:noProof/>
        </w:rPr>
        <w:t>et al.</w:t>
      </w:r>
      <w:r w:rsidRPr="00461580">
        <w:rPr>
          <w:noProof/>
        </w:rPr>
        <w:t xml:space="preserve"> 2014</w:t>
      </w:r>
      <w:r w:rsidR="00E339CD" w:rsidRPr="00461580">
        <w:rPr>
          <w:noProof/>
        </w:rPr>
        <w:t xml:space="preserve"> </w:t>
      </w:r>
      <w:r w:rsidRPr="00461580">
        <w:rPr>
          <w:noProof/>
        </w:rPr>
        <w:t xml:space="preserve">a b c d e f g h i j k; Wilford </w:t>
      </w:r>
      <w:r w:rsidRPr="00461580">
        <w:rPr>
          <w:i/>
          <w:noProof/>
        </w:rPr>
        <w:t>et al.</w:t>
      </w:r>
      <w:r w:rsidRPr="00461580">
        <w:rPr>
          <w:noProof/>
        </w:rPr>
        <w:t xml:space="preserve"> 2014)</w:t>
      </w:r>
      <w:r w:rsidRPr="00461580">
        <w:fldChar w:fldCharType="end"/>
      </w:r>
      <w:r w:rsidR="00A46258">
        <w:t>.</w:t>
      </w:r>
    </w:p>
    <w:p w14:paraId="11B90CF9" w14:textId="19F073EE" w:rsidR="00966029" w:rsidRPr="00326571" w:rsidRDefault="00461580" w:rsidP="00326571">
      <w:pPr>
        <w:spacing w:line="360" w:lineRule="auto"/>
      </w:pPr>
      <w:r w:rsidRPr="00480523">
        <w:rPr>
          <w:i/>
        </w:rPr>
        <w:t xml:space="preserve">Trait </w:t>
      </w:r>
      <w:r w:rsidR="00480523" w:rsidRPr="00480523">
        <w:rPr>
          <w:i/>
        </w:rPr>
        <w:t>selection and dataset asssembly</w:t>
      </w:r>
      <w:r w:rsidRPr="00480523">
        <w:rPr>
          <w:i/>
        </w:rPr>
        <w:tab/>
      </w:r>
    </w:p>
    <w:p w14:paraId="18BE5A4E" w14:textId="42A42C66" w:rsidR="00966029" w:rsidRDefault="00480523" w:rsidP="00BE079E">
      <w:pPr>
        <w:shd w:val="clear" w:color="auto" w:fill="FFFFFF"/>
        <w:spacing w:after="0" w:line="480" w:lineRule="auto"/>
        <w:jc w:val="both"/>
      </w:pPr>
      <w:r>
        <w:t>W</w:t>
      </w:r>
      <w:r w:rsidR="00461580" w:rsidRPr="00480523">
        <w:t>e assembled a dataset of</w:t>
      </w:r>
      <w:r w:rsidR="003F3825">
        <w:t xml:space="preserve"> 7 continuous (</w:t>
      </w:r>
      <w:r w:rsidR="003F3825" w:rsidRPr="00480523">
        <w:t>specific leaf area, leaf area, maximum canopy height, seed mass, wood density and flowering duration</w:t>
      </w:r>
      <w:r w:rsidR="003F3825">
        <w:t>) and 1 categorical</w:t>
      </w:r>
      <w:r w:rsidR="00BE079E" w:rsidRPr="00480523">
        <w:t xml:space="preserve"> </w:t>
      </w:r>
      <w:r w:rsidR="003F3825">
        <w:t>(growth form) functional traits</w:t>
      </w:r>
      <w:r w:rsidR="00157342" w:rsidRPr="00480523">
        <w:t xml:space="preserve"> </w:t>
      </w:r>
      <w:r w:rsidR="00A93F22" w:rsidRPr="00480523">
        <w:t xml:space="preserve">with which to calculate functional diversity. </w:t>
      </w:r>
      <w:r w:rsidR="00BE079E" w:rsidRPr="00480523">
        <w:t xml:space="preserve">These traits collectively </w:t>
      </w:r>
      <w:r w:rsidR="003F3825">
        <w:t>describe</w:t>
      </w:r>
      <w:r w:rsidR="00BE079E" w:rsidRPr="00480523">
        <w:t xml:space="preserve"> </w:t>
      </w:r>
      <w:r w:rsidR="003F3825">
        <w:t>central</w:t>
      </w:r>
      <w:r w:rsidR="00476EDC" w:rsidRPr="00480523">
        <w:t xml:space="preserve"> </w:t>
      </w:r>
      <w:r w:rsidR="00BE079E" w:rsidRPr="00480523">
        <w:t>trade-offs associated with ecological strategies of</w:t>
      </w:r>
      <w:r w:rsidR="00476EDC" w:rsidRPr="00480523">
        <w:t xml:space="preserve"> riparian plants</w:t>
      </w:r>
      <w:r w:rsidR="00342A01">
        <w:t xml:space="preserve"> (</w:t>
      </w:r>
      <w:r w:rsidR="00BE079E" w:rsidRPr="00480523">
        <w:t>functional responses), as well as flow</w:t>
      </w:r>
      <w:r w:rsidR="003F3825">
        <w:t>-</w:t>
      </w:r>
      <w:r w:rsidR="00BE079E" w:rsidRPr="00480523">
        <w:t>on effects of species on ecosystem</w:t>
      </w:r>
      <w:r w:rsidR="00342A01">
        <w:t xml:space="preserve"> functioning (</w:t>
      </w:r>
      <w:r w:rsidR="00BE079E" w:rsidRPr="00480523">
        <w:t xml:space="preserve">functional effects). </w:t>
      </w:r>
      <w:r w:rsidR="00BE079E" w:rsidRPr="00592ADE">
        <w:t xml:space="preserve">Table </w:t>
      </w:r>
      <w:r w:rsidR="00592ADE" w:rsidRPr="00592ADE">
        <w:t>2</w:t>
      </w:r>
      <w:r w:rsidR="00BE079E" w:rsidRPr="00480523">
        <w:t xml:space="preserve"> provides further description of the utility of each of these traits in </w:t>
      </w:r>
      <w:r w:rsidR="00465065">
        <w:t>describing the</w:t>
      </w:r>
      <w:r w:rsidRPr="00480523">
        <w:t xml:space="preserve"> </w:t>
      </w:r>
      <w:r w:rsidR="00BE079E" w:rsidRPr="00480523">
        <w:t xml:space="preserve">functional </w:t>
      </w:r>
      <w:r w:rsidR="00465065">
        <w:t>ecolog</w:t>
      </w:r>
      <w:r w:rsidR="00BE079E" w:rsidRPr="00480523">
        <w:t>y</w:t>
      </w:r>
      <w:r w:rsidRPr="00480523">
        <w:t xml:space="preserve"> of riparian vegetation communities</w:t>
      </w:r>
      <w:r w:rsidR="00BE079E" w:rsidRPr="00480523">
        <w:t>.</w:t>
      </w:r>
      <w:r w:rsidR="00476EDC" w:rsidRPr="00480523">
        <w:t xml:space="preserve"> </w:t>
      </w:r>
      <w:r w:rsidRPr="00480523">
        <w:br/>
      </w:r>
      <w:r w:rsidR="00476EDC" w:rsidRPr="00480523">
        <w:t>D</w:t>
      </w:r>
      <w:r w:rsidR="00A93F22" w:rsidRPr="00480523">
        <w:t xml:space="preserve">ata was taken from published literature, private and published trait datasets, and Australian flora texts. Where multiple </w:t>
      </w:r>
      <w:r w:rsidR="00157342" w:rsidRPr="00480523">
        <w:t xml:space="preserve">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w:t>
      </w:r>
      <w:r w:rsidR="00686137" w:rsidRPr="00480523">
        <w:t>Not all species-trait combinations could be ass</w:t>
      </w:r>
      <w:r w:rsidR="00546EE3">
        <w:t>igned data, so t</w:t>
      </w:r>
      <w:r w:rsidR="00686137" w:rsidRPr="00480523">
        <w:t>o</w:t>
      </w:r>
      <w:r w:rsidR="00AB691B" w:rsidRPr="00480523">
        <w:t xml:space="preserve"> reduce biases associated </w:t>
      </w:r>
      <w:r w:rsidR="00686137" w:rsidRPr="00480523">
        <w:t>with</w:t>
      </w:r>
      <w:r w:rsidR="00AB691B" w:rsidRPr="00480523">
        <w:t xml:space="preserve"> analyses of</w:t>
      </w:r>
      <w:r w:rsidR="00686137" w:rsidRPr="00480523">
        <w:t xml:space="preserve"> incomplete </w:t>
      </w:r>
      <w:r w:rsidR="00AB691B" w:rsidRPr="00480523">
        <w:t>trait</w:t>
      </w:r>
      <w:r w:rsidR="00DC7F43" w:rsidRPr="00480523">
        <w:t xml:space="preserve"> datasets</w:t>
      </w:r>
      <w:r w:rsidR="00AB691B" w:rsidRPr="00480523">
        <w:t xml:space="preserve"> </w:t>
      </w:r>
      <w:r w:rsidR="00AB691B" w:rsidRPr="00480523">
        <w:fldChar w:fldCharType="begin" w:fldLock="1"/>
      </w:r>
      <w:r w:rsidR="00326571">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AB691B" w:rsidRPr="00480523">
        <w:fldChar w:fldCharType="separate"/>
      </w:r>
      <w:r w:rsidR="00326571" w:rsidRPr="00326571">
        <w:rPr>
          <w:noProof/>
        </w:rPr>
        <w:t xml:space="preserve">(Penone </w:t>
      </w:r>
      <w:r w:rsidR="00326571" w:rsidRPr="00326571">
        <w:rPr>
          <w:i/>
          <w:noProof/>
        </w:rPr>
        <w:t>et al.</w:t>
      </w:r>
      <w:r w:rsidR="00326571" w:rsidRPr="00326571">
        <w:rPr>
          <w:noProof/>
        </w:rPr>
        <w:t xml:space="preserve"> 2014)</w:t>
      </w:r>
      <w:r w:rsidR="00AB691B" w:rsidRPr="00480523">
        <w:fldChar w:fldCharType="end"/>
      </w:r>
      <w:r w:rsidR="00686137" w:rsidRPr="00480523">
        <w:t xml:space="preserve">, </w:t>
      </w:r>
      <w:r w:rsidR="000C54E2">
        <w:t xml:space="preserve">only species with fewer than 3 missing trait </w:t>
      </w:r>
      <w:r w:rsidR="00686137" w:rsidRPr="00480523">
        <w:t>values</w:t>
      </w:r>
      <w:r w:rsidR="00432B4A">
        <w:t xml:space="preserve"> </w:t>
      </w:r>
      <w:r w:rsidR="00432B4A" w:rsidRPr="00432B4A">
        <w:rPr>
          <w:highlight w:val="yellow"/>
        </w:rPr>
        <w:t>(174 / 260)</w:t>
      </w:r>
      <w:r w:rsidR="000C54E2">
        <w:t xml:space="preserve"> were retained for the analysis. </w:t>
      </w:r>
      <w:r w:rsidR="00DF7311">
        <w:t>7</w:t>
      </w:r>
      <w:r w:rsidR="000C54E2">
        <w:t>The remaining</w:t>
      </w:r>
      <w:r w:rsidR="00686137" w:rsidRPr="00480523">
        <w:t xml:space="preserve"> </w:t>
      </w:r>
      <w:r w:rsidR="000C54E2">
        <w:t>missing</w:t>
      </w:r>
      <w:r w:rsidR="00686137" w:rsidRPr="00480523">
        <w:t xml:space="preserve"> </w:t>
      </w:r>
      <w:r w:rsidR="000C54E2">
        <w:t>values</w:t>
      </w:r>
      <w:r w:rsidR="00686137" w:rsidRPr="00480523">
        <w:t xml:space="preserve"> were imputed </w:t>
      </w:r>
      <w:r w:rsidR="00AB691B" w:rsidRPr="00480523">
        <w:t>using a non-parametric random forests approach (</w:t>
      </w:r>
      <w:r w:rsidR="00AB691B" w:rsidRPr="00581C80">
        <w:rPr>
          <w:i/>
        </w:rPr>
        <w:t>missForest</w:t>
      </w:r>
      <w:r w:rsidR="00AB691B" w:rsidRPr="00480523">
        <w:t xml:space="preserve"> package for R, </w:t>
      </w:r>
      <w:r w:rsidR="00DB28A0" w:rsidRPr="00480523">
        <w:fldChar w:fldCharType="begin" w:fldLock="1"/>
      </w:r>
      <w:r w:rsidR="00326571">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00DB28A0" w:rsidRPr="00480523">
        <w:fldChar w:fldCharType="separate"/>
      </w:r>
      <w:r w:rsidR="00DB28A0" w:rsidRPr="00480523">
        <w:rPr>
          <w:noProof/>
        </w:rPr>
        <w:t>Stekhoven &amp; Buhlmann, 2012)</w:t>
      </w:r>
      <w:r w:rsidR="00DB28A0" w:rsidRPr="00480523">
        <w:fldChar w:fldCharType="end"/>
      </w:r>
      <w:r w:rsidR="00DC7F43" w:rsidRPr="00480523">
        <w:t>.</w:t>
      </w:r>
      <w:r w:rsidR="00AB691B" w:rsidRPr="00480523">
        <w:t xml:space="preserve"> </w:t>
      </w:r>
      <w:r w:rsidR="00C05647">
        <w:t>D</w:t>
      </w:r>
      <w:r w:rsidR="00CA65EA">
        <w:t xml:space="preserve">ataset density information can be found in the </w:t>
      </w:r>
      <w:commentRangeStart w:id="0"/>
      <w:r w:rsidR="00CA65EA" w:rsidRPr="00CA65EA">
        <w:rPr>
          <w:highlight w:val="yellow"/>
        </w:rPr>
        <w:t>Supporting Information</w:t>
      </w:r>
      <w:r w:rsidR="00C05647">
        <w:t xml:space="preserve"> S1</w:t>
      </w:r>
      <w:r w:rsidR="00CA65EA">
        <w:t>.</w:t>
      </w:r>
      <w:commentRangeEnd w:id="0"/>
      <w:r w:rsidR="00432B4A">
        <w:rPr>
          <w:rStyle w:val="CommentReference"/>
        </w:rPr>
        <w:commentReference w:id="0"/>
      </w:r>
    </w:p>
    <w:p w14:paraId="377C842E" w14:textId="5C1D0011" w:rsidR="00CA65EA" w:rsidRDefault="00CA65EA" w:rsidP="00CA65EA">
      <w:pPr>
        <w:pStyle w:val="Caption"/>
        <w:keepNext/>
      </w:pPr>
      <w:r>
        <w:lastRenderedPageBreak/>
        <w:t xml:space="preserve">Table </w:t>
      </w:r>
      <w:r w:rsidR="00C05647">
        <w:fldChar w:fldCharType="begin"/>
      </w:r>
      <w:r w:rsidR="00C05647">
        <w:instrText xml:space="preserve"> SEQ Table \* ARABIC </w:instrText>
      </w:r>
      <w:r w:rsidR="00C05647">
        <w:fldChar w:fldCharType="separate"/>
      </w:r>
      <w:r>
        <w:rPr>
          <w:noProof/>
        </w:rPr>
        <w:t>1</w:t>
      </w:r>
      <w:r w:rsidR="00C05647">
        <w:rPr>
          <w:noProof/>
        </w:rPr>
        <w:fldChar w:fldCharType="end"/>
      </w:r>
      <w: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F20A65" w14:paraId="5E5F298C" w14:textId="77777777" w:rsidTr="00F20A65">
        <w:tc>
          <w:tcPr>
            <w:tcW w:w="2254" w:type="dxa"/>
          </w:tcPr>
          <w:p w14:paraId="3BB24523" w14:textId="5AB54B79" w:rsidR="00F20A65" w:rsidRPr="00CA65EA" w:rsidRDefault="00F20A65" w:rsidP="009A7D63">
            <w:pPr>
              <w:spacing w:line="360" w:lineRule="auto"/>
              <w:rPr>
                <w:b/>
                <w:sz w:val="20"/>
                <w:szCs w:val="20"/>
              </w:rPr>
            </w:pPr>
            <w:r w:rsidRPr="00CA65EA">
              <w:rPr>
                <w:b/>
                <w:sz w:val="20"/>
                <w:szCs w:val="20"/>
              </w:rPr>
              <w:t>Trait</w:t>
            </w:r>
          </w:p>
        </w:tc>
        <w:tc>
          <w:tcPr>
            <w:tcW w:w="2254" w:type="dxa"/>
          </w:tcPr>
          <w:p w14:paraId="411328E1" w14:textId="55BDCA1F" w:rsidR="00F20A65" w:rsidRPr="00CA65EA" w:rsidRDefault="00CD016A" w:rsidP="009A7D63">
            <w:pPr>
              <w:spacing w:line="360" w:lineRule="auto"/>
              <w:rPr>
                <w:b/>
                <w:sz w:val="20"/>
                <w:szCs w:val="20"/>
              </w:rPr>
            </w:pPr>
            <w:r w:rsidRPr="00CA65EA">
              <w:rPr>
                <w:b/>
                <w:sz w:val="20"/>
                <w:szCs w:val="20"/>
              </w:rPr>
              <w:t>Definition</w:t>
            </w:r>
          </w:p>
        </w:tc>
        <w:tc>
          <w:tcPr>
            <w:tcW w:w="2254" w:type="dxa"/>
          </w:tcPr>
          <w:p w14:paraId="17141F6D" w14:textId="1CF049DA" w:rsidR="00F20A65" w:rsidRPr="00CA65EA" w:rsidRDefault="00CD016A" w:rsidP="009A7D63">
            <w:pPr>
              <w:spacing w:line="360" w:lineRule="auto"/>
              <w:rPr>
                <w:b/>
                <w:sz w:val="20"/>
                <w:szCs w:val="20"/>
              </w:rPr>
            </w:pPr>
            <w:r w:rsidRPr="00CA65EA">
              <w:rPr>
                <w:b/>
                <w:sz w:val="20"/>
                <w:szCs w:val="20"/>
              </w:rPr>
              <w:t>Functional responses</w:t>
            </w:r>
            <w:r w:rsidR="00995F09" w:rsidRPr="00CA65EA">
              <w:rPr>
                <w:b/>
                <w:sz w:val="20"/>
                <w:szCs w:val="20"/>
              </w:rPr>
              <w:t xml:space="preserve"> &amp; inherent trade-offs</w:t>
            </w:r>
          </w:p>
        </w:tc>
        <w:tc>
          <w:tcPr>
            <w:tcW w:w="2254" w:type="dxa"/>
          </w:tcPr>
          <w:p w14:paraId="7A064A59" w14:textId="431EB1C1" w:rsidR="00F20A65" w:rsidRPr="00CA65EA" w:rsidRDefault="00CD016A" w:rsidP="009A7D63">
            <w:pPr>
              <w:spacing w:line="360" w:lineRule="auto"/>
              <w:rPr>
                <w:b/>
                <w:sz w:val="20"/>
                <w:szCs w:val="20"/>
              </w:rPr>
            </w:pPr>
            <w:r w:rsidRPr="00CA65EA">
              <w:rPr>
                <w:b/>
                <w:sz w:val="20"/>
                <w:szCs w:val="20"/>
              </w:rPr>
              <w:t>Functional effects</w:t>
            </w:r>
          </w:p>
        </w:tc>
      </w:tr>
      <w:tr w:rsidR="00F20A65" w14:paraId="55E559DD" w14:textId="77777777" w:rsidTr="00F20A65">
        <w:tc>
          <w:tcPr>
            <w:tcW w:w="2254" w:type="dxa"/>
          </w:tcPr>
          <w:p w14:paraId="03C9CB63" w14:textId="6F9E530A" w:rsidR="00432B4A" w:rsidRPr="00CA65EA" w:rsidRDefault="00CD016A" w:rsidP="009A7D63">
            <w:pPr>
              <w:spacing w:line="360" w:lineRule="auto"/>
              <w:rPr>
                <w:i/>
                <w:sz w:val="20"/>
                <w:szCs w:val="20"/>
              </w:rPr>
            </w:pPr>
            <w:r w:rsidRPr="00CA65EA">
              <w:rPr>
                <w:i/>
                <w:sz w:val="20"/>
                <w:szCs w:val="20"/>
              </w:rPr>
              <w:t>Growth form</w:t>
            </w:r>
          </w:p>
        </w:tc>
        <w:tc>
          <w:tcPr>
            <w:tcW w:w="2254" w:type="dxa"/>
          </w:tcPr>
          <w:p w14:paraId="6F8C3B2D" w14:textId="60197061" w:rsidR="00F20A65"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Categorical description</w:t>
            </w:r>
            <w:r w:rsidR="00C6103F" w:rsidRPr="009A7D63">
              <w:rPr>
                <w:rFonts w:eastAsia="Times New Roman" w:cs="Arial"/>
                <w:sz w:val="20"/>
                <w:szCs w:val="20"/>
                <w:lang w:eastAsia="en-AU"/>
              </w:rPr>
              <w:t xml:space="preserve"> of morphology</w:t>
            </w:r>
            <w:r w:rsidRPr="009A7D63">
              <w:rPr>
                <w:rFonts w:eastAsia="Times New Roman" w:cs="Arial"/>
                <w:sz w:val="20"/>
                <w:szCs w:val="20"/>
                <w:lang w:eastAsia="en-AU"/>
              </w:rPr>
              <w:t>: tree, shrub,</w:t>
            </w:r>
            <w:r w:rsidR="00C6103F" w:rsidRPr="009A7D63">
              <w:rPr>
                <w:rFonts w:eastAsia="Times New Roman" w:cs="Arial"/>
                <w:sz w:val="20"/>
                <w:szCs w:val="20"/>
                <w:lang w:eastAsia="en-AU"/>
              </w:rPr>
              <w:t xml:space="preserve"> woody climber, herbaceous climber,</w:t>
            </w:r>
            <w:r w:rsidRPr="009A7D63">
              <w:rPr>
                <w:rFonts w:eastAsia="Times New Roman" w:cs="Arial"/>
                <w:sz w:val="20"/>
                <w:szCs w:val="20"/>
                <w:lang w:eastAsia="en-AU"/>
              </w:rPr>
              <w:t xml:space="preserve"> graminoid, herb</w:t>
            </w:r>
          </w:p>
        </w:tc>
        <w:tc>
          <w:tcPr>
            <w:tcW w:w="2254" w:type="dxa"/>
          </w:tcPr>
          <w:p w14:paraId="71C71F9C" w14:textId="4834F452" w:rsidR="00F20A65" w:rsidRPr="009A7D63" w:rsidRDefault="00C6103F" w:rsidP="009A7D63">
            <w:pPr>
              <w:spacing w:line="360" w:lineRule="auto"/>
              <w:rPr>
                <w:sz w:val="20"/>
                <w:szCs w:val="20"/>
              </w:rPr>
            </w:pPr>
            <w:r w:rsidRPr="009A7D63">
              <w:rPr>
                <w:sz w:val="20"/>
                <w:szCs w:val="20"/>
              </w:rPr>
              <w:t xml:space="preserve">Differential responses to mechanical and biochemical stresses associated </w:t>
            </w:r>
            <w:r w:rsidR="00A71A77" w:rsidRPr="009A7D63">
              <w:rPr>
                <w:sz w:val="20"/>
                <w:szCs w:val="20"/>
              </w:rPr>
              <w:t xml:space="preserve">caused by flooding; different strategies for coping with drought and heat stress. </w:t>
            </w:r>
          </w:p>
        </w:tc>
        <w:tc>
          <w:tcPr>
            <w:tcW w:w="2254" w:type="dxa"/>
          </w:tcPr>
          <w:p w14:paraId="7F14A405" w14:textId="44AF2FB8" w:rsidR="00F20A65" w:rsidRPr="009A7D63" w:rsidRDefault="00C6103F" w:rsidP="009A7D63">
            <w:pPr>
              <w:spacing w:line="360" w:lineRule="auto"/>
              <w:rPr>
                <w:sz w:val="20"/>
                <w:szCs w:val="20"/>
              </w:rPr>
            </w:pPr>
            <w:r w:rsidRPr="009A7D63">
              <w:rPr>
                <w:sz w:val="20"/>
                <w:szCs w:val="20"/>
              </w:rPr>
              <w:t xml:space="preserve">Differential biogeomorphic effects on </w:t>
            </w:r>
            <w:r w:rsidR="00A71A77" w:rsidRPr="009A7D63">
              <w:rPr>
                <w:sz w:val="20"/>
                <w:szCs w:val="20"/>
              </w:rPr>
              <w:t xml:space="preserve">fluvial </w:t>
            </w:r>
            <w:r w:rsidRPr="009A7D63">
              <w:rPr>
                <w:sz w:val="20"/>
                <w:szCs w:val="20"/>
              </w:rPr>
              <w:t>landform cohesion and sediment deposition</w:t>
            </w:r>
            <w:r w:rsidR="00A71A77" w:rsidRPr="009A7D63">
              <w:rPr>
                <w:sz w:val="20"/>
                <w:szCs w:val="20"/>
              </w:rPr>
              <w:t>.</w:t>
            </w:r>
          </w:p>
        </w:tc>
      </w:tr>
      <w:tr w:rsidR="00CD016A" w14:paraId="0F903D33" w14:textId="77777777" w:rsidTr="00F20A65">
        <w:tc>
          <w:tcPr>
            <w:tcW w:w="2254" w:type="dxa"/>
          </w:tcPr>
          <w:p w14:paraId="6A7767F6" w14:textId="29953247" w:rsidR="00CD016A" w:rsidRPr="00CA65EA" w:rsidRDefault="00CD016A" w:rsidP="009A7D63">
            <w:pPr>
              <w:spacing w:line="360" w:lineRule="auto"/>
              <w:rPr>
                <w:i/>
                <w:sz w:val="20"/>
                <w:szCs w:val="20"/>
              </w:rPr>
            </w:pPr>
            <w:r w:rsidRPr="00CA65EA">
              <w:rPr>
                <w:i/>
                <w:sz w:val="20"/>
                <w:szCs w:val="20"/>
              </w:rPr>
              <w:t>Specific leaf area (SLA)</w:t>
            </w:r>
          </w:p>
        </w:tc>
        <w:tc>
          <w:tcPr>
            <w:tcW w:w="2254" w:type="dxa"/>
          </w:tcPr>
          <w:p w14:paraId="01DC36BE" w14:textId="5BB69E91"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Ratio of one-sided leaf area to oven dry mass (cm</w:t>
            </w:r>
            <w:r w:rsidRPr="009A7D63">
              <w:rPr>
                <w:rFonts w:eastAsia="Times New Roman" w:cs="Arial"/>
                <w:sz w:val="20"/>
                <w:szCs w:val="20"/>
                <w:vertAlign w:val="superscript"/>
                <w:lang w:eastAsia="en-AU"/>
              </w:rPr>
              <w:t>2</w:t>
            </w:r>
            <w:r w:rsidRPr="009A7D63">
              <w:rPr>
                <w:rFonts w:eastAsia="Times New Roman" w:cs="Arial"/>
                <w:sz w:val="20"/>
                <w:szCs w:val="20"/>
                <w:lang w:eastAsia="en-AU"/>
              </w:rPr>
              <w:t xml:space="preserve"> / g).</w:t>
            </w:r>
          </w:p>
        </w:tc>
        <w:tc>
          <w:tcPr>
            <w:tcW w:w="2254" w:type="dxa"/>
          </w:tcPr>
          <w:p w14:paraId="782CB97D" w14:textId="3BF134BC" w:rsidR="00CD016A" w:rsidRPr="009A7D63" w:rsidRDefault="00A71A77" w:rsidP="005B4179">
            <w:pPr>
              <w:spacing w:line="360" w:lineRule="auto"/>
              <w:rPr>
                <w:sz w:val="20"/>
                <w:szCs w:val="20"/>
              </w:rPr>
            </w:pPr>
            <w:r w:rsidRPr="009A7D63">
              <w:rPr>
                <w:sz w:val="20"/>
                <w:szCs w:val="20"/>
              </w:rPr>
              <w:t>SLA is associated with leaf construction cost, photosynthetic rate and carbon : nitrogen economics. Indicator of  ecological strategy under favourable vs. stressful conditions</w:t>
            </w:r>
            <w:r w:rsidR="005B4179">
              <w:rPr>
                <w:sz w:val="20"/>
                <w:szCs w:val="20"/>
              </w:rPr>
              <w:fldChar w:fldCharType="begin" w:fldLock="1"/>
            </w:r>
            <w:r w:rsidR="005B4179">
              <w:rPr>
                <w:sz w:val="20"/>
                <w:szCs w:val="20"/>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5B4179">
              <w:rPr>
                <w:sz w:val="20"/>
                <w:szCs w:val="20"/>
              </w:rPr>
              <w:fldChar w:fldCharType="separate"/>
            </w:r>
            <w:r w:rsidR="005B4179" w:rsidRPr="005B4179">
              <w:rPr>
                <w:noProof/>
                <w:sz w:val="20"/>
                <w:szCs w:val="20"/>
              </w:rPr>
              <w:t xml:space="preserve">(Wright </w:t>
            </w:r>
            <w:r w:rsidR="005B4179" w:rsidRPr="005B4179">
              <w:rPr>
                <w:i/>
                <w:noProof/>
                <w:sz w:val="20"/>
                <w:szCs w:val="20"/>
              </w:rPr>
              <w:t>et al.</w:t>
            </w:r>
            <w:r w:rsidR="005B4179" w:rsidRPr="005B4179">
              <w:rPr>
                <w:noProof/>
                <w:sz w:val="20"/>
                <w:szCs w:val="20"/>
              </w:rPr>
              <w:t xml:space="preserve"> 2004)</w:t>
            </w:r>
            <w:r w:rsidR="005B4179">
              <w:rPr>
                <w:sz w:val="20"/>
                <w:szCs w:val="20"/>
              </w:rPr>
              <w:fldChar w:fldCharType="end"/>
            </w:r>
            <w:r w:rsidRPr="009A7D63">
              <w:rPr>
                <w:sz w:val="20"/>
                <w:szCs w:val="20"/>
              </w:rPr>
              <w:t>.</w:t>
            </w:r>
          </w:p>
        </w:tc>
        <w:tc>
          <w:tcPr>
            <w:tcW w:w="2254" w:type="dxa"/>
          </w:tcPr>
          <w:p w14:paraId="66D4DF87" w14:textId="62E83BD6" w:rsidR="00CD016A" w:rsidRPr="009A7D63" w:rsidRDefault="00B24E53" w:rsidP="005B4179">
            <w:pPr>
              <w:spacing w:line="360" w:lineRule="auto"/>
              <w:rPr>
                <w:sz w:val="20"/>
                <w:szCs w:val="20"/>
              </w:rPr>
            </w:pPr>
            <w:r w:rsidRPr="009A7D63">
              <w:rPr>
                <w:sz w:val="20"/>
                <w:szCs w:val="20"/>
              </w:rPr>
              <w:t>Affects ecosystem productivity and nutrient recycling</w:t>
            </w:r>
            <w:r w:rsidR="005B4179">
              <w:rPr>
                <w:sz w:val="20"/>
                <w:szCs w:val="20"/>
              </w:rPr>
              <w:t xml:space="preserve"> </w:t>
            </w:r>
            <w:r w:rsidR="005B4179">
              <w:rPr>
                <w:sz w:val="20"/>
                <w:szCs w:val="20"/>
              </w:rPr>
              <w:fldChar w:fldCharType="begin" w:fldLock="1"/>
            </w:r>
            <w:r w:rsidR="005B4179">
              <w:rPr>
                <w:sz w:val="20"/>
                <w:szCs w:val="20"/>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5B4179">
              <w:rPr>
                <w:sz w:val="20"/>
                <w:szCs w:val="20"/>
              </w:rPr>
              <w:fldChar w:fldCharType="separate"/>
            </w:r>
            <w:r w:rsidR="005B4179" w:rsidRPr="005B4179">
              <w:rPr>
                <w:noProof/>
                <w:sz w:val="20"/>
                <w:szCs w:val="20"/>
              </w:rPr>
              <w:t xml:space="preserve">(Wright </w:t>
            </w:r>
            <w:r w:rsidR="005B4179" w:rsidRPr="005B4179">
              <w:rPr>
                <w:i/>
                <w:noProof/>
                <w:sz w:val="20"/>
                <w:szCs w:val="20"/>
              </w:rPr>
              <w:t>et al.</w:t>
            </w:r>
            <w:r w:rsidR="005B4179" w:rsidRPr="005B4179">
              <w:rPr>
                <w:noProof/>
                <w:sz w:val="20"/>
                <w:szCs w:val="20"/>
              </w:rPr>
              <w:t xml:space="preserve"> 2004)</w:t>
            </w:r>
            <w:r w:rsidR="005B4179">
              <w:rPr>
                <w:sz w:val="20"/>
                <w:szCs w:val="20"/>
              </w:rPr>
              <w:fldChar w:fldCharType="end"/>
            </w:r>
            <w:r w:rsidRPr="009A7D63">
              <w:rPr>
                <w:sz w:val="20"/>
                <w:szCs w:val="20"/>
              </w:rPr>
              <w:t>.</w:t>
            </w:r>
          </w:p>
        </w:tc>
      </w:tr>
      <w:tr w:rsidR="00CD016A" w14:paraId="67BB828C" w14:textId="77777777" w:rsidTr="00F20A65">
        <w:tc>
          <w:tcPr>
            <w:tcW w:w="2254" w:type="dxa"/>
          </w:tcPr>
          <w:p w14:paraId="3B498079" w14:textId="07EDFEAD" w:rsidR="00CD016A" w:rsidRPr="00CA65EA" w:rsidRDefault="00CD016A" w:rsidP="009A7D63">
            <w:pPr>
              <w:spacing w:line="360" w:lineRule="auto"/>
              <w:rPr>
                <w:i/>
                <w:sz w:val="20"/>
                <w:szCs w:val="20"/>
              </w:rPr>
            </w:pPr>
            <w:r w:rsidRPr="00CA65EA">
              <w:rPr>
                <w:i/>
                <w:sz w:val="20"/>
                <w:szCs w:val="20"/>
              </w:rPr>
              <w:t>Leaf area</w:t>
            </w:r>
          </w:p>
        </w:tc>
        <w:tc>
          <w:tcPr>
            <w:tcW w:w="2254" w:type="dxa"/>
          </w:tcPr>
          <w:p w14:paraId="0DD28038" w14:textId="504FF47C"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One-sided leaf area (cm</w:t>
            </w:r>
            <w:r w:rsidRPr="009A7D63">
              <w:rPr>
                <w:rFonts w:eastAsia="Times New Roman" w:cs="Arial"/>
                <w:sz w:val="20"/>
                <w:szCs w:val="20"/>
                <w:vertAlign w:val="superscript"/>
                <w:lang w:eastAsia="en-AU"/>
              </w:rPr>
              <w:t>2</w:t>
            </w:r>
            <w:r w:rsidRPr="009A7D63">
              <w:rPr>
                <w:rFonts w:eastAsia="Times New Roman" w:cs="Arial"/>
                <w:sz w:val="20"/>
                <w:szCs w:val="20"/>
                <w:lang w:eastAsia="en-AU"/>
              </w:rPr>
              <w:t>)</w:t>
            </w:r>
          </w:p>
        </w:tc>
        <w:tc>
          <w:tcPr>
            <w:tcW w:w="2254" w:type="dxa"/>
          </w:tcPr>
          <w:p w14:paraId="5F8DAB26" w14:textId="777DD0DA" w:rsidR="00CD016A" w:rsidRPr="009A7D63" w:rsidRDefault="00B24E53" w:rsidP="005B4179">
            <w:pPr>
              <w:spacing w:line="360" w:lineRule="auto"/>
              <w:rPr>
                <w:sz w:val="20"/>
                <w:szCs w:val="20"/>
              </w:rPr>
            </w:pPr>
            <w:r w:rsidRPr="009A7D63">
              <w:rPr>
                <w:sz w:val="20"/>
                <w:szCs w:val="20"/>
              </w:rPr>
              <w:t xml:space="preserve">Shade tolerance (larger leaves) vs. </w:t>
            </w:r>
            <w:r w:rsidR="00367203">
              <w:rPr>
                <w:sz w:val="20"/>
                <w:szCs w:val="20"/>
              </w:rPr>
              <w:t>enhanced thermal regulation ability</w:t>
            </w:r>
            <w:r w:rsidRPr="009A7D63">
              <w:rPr>
                <w:sz w:val="20"/>
                <w:szCs w:val="20"/>
              </w:rPr>
              <w:t xml:space="preserve"> in hot, dry conditions (smaller leaves)</w:t>
            </w:r>
            <w:r w:rsidR="005B4179">
              <w:rPr>
                <w:sz w:val="20"/>
                <w:szCs w:val="20"/>
              </w:rPr>
              <w:t xml:space="preserve"> </w:t>
            </w:r>
            <w:r w:rsidR="005B4179">
              <w:rPr>
                <w:sz w:val="20"/>
                <w:szCs w:val="20"/>
              </w:rPr>
              <w:fldChar w:fldCharType="begin" w:fldLock="1"/>
            </w:r>
            <w:r w:rsidR="005B4179">
              <w:rPr>
                <w:sz w:val="20"/>
                <w:szCs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5B4179">
              <w:rPr>
                <w:sz w:val="20"/>
                <w:szCs w:val="20"/>
              </w:rPr>
              <w:fldChar w:fldCharType="separate"/>
            </w:r>
            <w:r w:rsidR="005B4179" w:rsidRPr="005B4179">
              <w:rPr>
                <w:noProof/>
                <w:sz w:val="20"/>
                <w:szCs w:val="20"/>
              </w:rPr>
              <w:t xml:space="preserve">(Cornelissen </w:t>
            </w:r>
            <w:r w:rsidR="005B4179" w:rsidRPr="005B4179">
              <w:rPr>
                <w:i/>
                <w:noProof/>
                <w:sz w:val="20"/>
                <w:szCs w:val="20"/>
              </w:rPr>
              <w:t>et al.</w:t>
            </w:r>
            <w:r w:rsidR="005B4179" w:rsidRPr="005B4179">
              <w:rPr>
                <w:noProof/>
                <w:sz w:val="20"/>
                <w:szCs w:val="20"/>
              </w:rPr>
              <w:t xml:space="preserve"> 2003)</w:t>
            </w:r>
            <w:r w:rsidR="005B4179">
              <w:rPr>
                <w:sz w:val="20"/>
                <w:szCs w:val="20"/>
              </w:rPr>
              <w:fldChar w:fldCharType="end"/>
            </w:r>
            <w:r w:rsidRPr="009A7D63">
              <w:rPr>
                <w:sz w:val="20"/>
                <w:szCs w:val="20"/>
              </w:rPr>
              <w:t xml:space="preserve">. </w:t>
            </w:r>
          </w:p>
        </w:tc>
        <w:tc>
          <w:tcPr>
            <w:tcW w:w="2254" w:type="dxa"/>
          </w:tcPr>
          <w:p w14:paraId="58EBC398" w14:textId="583ED029" w:rsidR="00CD016A" w:rsidRPr="009A7D63" w:rsidRDefault="00B24E53" w:rsidP="009A7D63">
            <w:pPr>
              <w:spacing w:line="360" w:lineRule="auto"/>
              <w:rPr>
                <w:sz w:val="20"/>
                <w:szCs w:val="20"/>
              </w:rPr>
            </w:pPr>
            <w:r w:rsidRPr="009A7D63">
              <w:rPr>
                <w:sz w:val="20"/>
                <w:szCs w:val="20"/>
              </w:rPr>
              <w:t>May influence flow resistance of vegetation (and therefore fluvial erosion / deposition) when inundated.</w:t>
            </w:r>
          </w:p>
        </w:tc>
      </w:tr>
      <w:tr w:rsidR="00CD016A" w14:paraId="5971F2C8" w14:textId="77777777" w:rsidTr="00F20A65">
        <w:tc>
          <w:tcPr>
            <w:tcW w:w="2254" w:type="dxa"/>
          </w:tcPr>
          <w:p w14:paraId="0BD630A4" w14:textId="26631762" w:rsidR="00CD016A" w:rsidRPr="00CA65EA" w:rsidRDefault="00CD016A" w:rsidP="009A7D63">
            <w:pPr>
              <w:spacing w:line="360" w:lineRule="auto"/>
              <w:rPr>
                <w:i/>
                <w:sz w:val="20"/>
                <w:szCs w:val="20"/>
              </w:rPr>
            </w:pPr>
            <w:r w:rsidRPr="00CA65EA">
              <w:rPr>
                <w:i/>
                <w:sz w:val="20"/>
                <w:szCs w:val="20"/>
              </w:rPr>
              <w:t>Maximum canopy height</w:t>
            </w:r>
          </w:p>
        </w:tc>
        <w:tc>
          <w:tcPr>
            <w:tcW w:w="2254" w:type="dxa"/>
          </w:tcPr>
          <w:p w14:paraId="3314CA3D" w14:textId="2EFD6104"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Height above ground of apical meristem (m).</w:t>
            </w:r>
          </w:p>
        </w:tc>
        <w:tc>
          <w:tcPr>
            <w:tcW w:w="2254" w:type="dxa"/>
          </w:tcPr>
          <w:p w14:paraId="3F9F44A7" w14:textId="47C65701" w:rsidR="00CD016A" w:rsidRPr="009A7D63" w:rsidRDefault="00995F09" w:rsidP="005B4179">
            <w:pPr>
              <w:spacing w:line="360" w:lineRule="auto"/>
              <w:rPr>
                <w:sz w:val="20"/>
                <w:szCs w:val="20"/>
              </w:rPr>
            </w:pPr>
            <w:r w:rsidRPr="009A7D63">
              <w:rPr>
                <w:sz w:val="20"/>
                <w:szCs w:val="20"/>
              </w:rPr>
              <w:t xml:space="preserve">Affects ability to </w:t>
            </w:r>
            <w:r w:rsidR="00367203">
              <w:rPr>
                <w:sz w:val="20"/>
                <w:szCs w:val="20"/>
              </w:rPr>
              <w:t>tolerate</w:t>
            </w:r>
            <w:r w:rsidR="00C72946" w:rsidRPr="009A7D63">
              <w:rPr>
                <w:sz w:val="20"/>
                <w:szCs w:val="20"/>
              </w:rPr>
              <w:t xml:space="preserve"> mechanical disturbances such as flooding and </w:t>
            </w:r>
            <w:r w:rsidRPr="009A7D63">
              <w:rPr>
                <w:sz w:val="20"/>
                <w:szCs w:val="20"/>
              </w:rPr>
              <w:t xml:space="preserve">maintain </w:t>
            </w:r>
            <w:r w:rsidR="00C9297C" w:rsidRPr="009A7D63">
              <w:rPr>
                <w:sz w:val="20"/>
                <w:szCs w:val="20"/>
              </w:rPr>
              <w:t>xylem</w:t>
            </w:r>
            <w:r w:rsidRPr="009A7D63">
              <w:rPr>
                <w:sz w:val="20"/>
                <w:szCs w:val="20"/>
              </w:rPr>
              <w:t xml:space="preserve"> integrity in dry conditions</w:t>
            </w:r>
            <w:r w:rsidR="005B4179">
              <w:rPr>
                <w:sz w:val="20"/>
                <w:szCs w:val="20"/>
              </w:rPr>
              <w:t xml:space="preserve"> </w:t>
            </w:r>
            <w:r w:rsidR="005B4179">
              <w:rPr>
                <w:sz w:val="20"/>
                <w:szCs w:val="20"/>
              </w:rPr>
              <w:fldChar w:fldCharType="begin" w:fldLock="1"/>
            </w:r>
            <w:r w:rsidR="005B4179">
              <w:rPr>
                <w:sz w:val="20"/>
                <w:szCs w:val="20"/>
              </w:rPr>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005B4179">
              <w:rPr>
                <w:sz w:val="20"/>
                <w:szCs w:val="20"/>
              </w:rPr>
              <w:fldChar w:fldCharType="separate"/>
            </w:r>
            <w:r w:rsidR="005B4179" w:rsidRPr="005B4179">
              <w:rPr>
                <w:noProof/>
                <w:sz w:val="20"/>
                <w:szCs w:val="20"/>
              </w:rPr>
              <w:t>(Westoby &amp; Wright 2006)</w:t>
            </w:r>
            <w:r w:rsidR="005B4179">
              <w:rPr>
                <w:sz w:val="20"/>
                <w:szCs w:val="20"/>
              </w:rPr>
              <w:fldChar w:fldCharType="end"/>
            </w:r>
            <w:r w:rsidR="00C9297C" w:rsidRPr="009A7D63">
              <w:rPr>
                <w:sz w:val="20"/>
                <w:szCs w:val="20"/>
              </w:rPr>
              <w:t>.</w:t>
            </w:r>
          </w:p>
        </w:tc>
        <w:tc>
          <w:tcPr>
            <w:tcW w:w="2254" w:type="dxa"/>
          </w:tcPr>
          <w:p w14:paraId="5C1980E0" w14:textId="0133111C" w:rsidR="00CD016A" w:rsidRPr="009A7D63" w:rsidRDefault="00995F09" w:rsidP="009A7D63">
            <w:pPr>
              <w:spacing w:line="360" w:lineRule="auto"/>
              <w:rPr>
                <w:sz w:val="20"/>
                <w:szCs w:val="20"/>
              </w:rPr>
            </w:pPr>
            <w:r w:rsidRPr="009A7D63">
              <w:rPr>
                <w:rFonts w:eastAsia="Times New Roman" w:cs="Arial"/>
                <w:sz w:val="20"/>
                <w:szCs w:val="20"/>
                <w:lang w:eastAsia="en-AU"/>
              </w:rPr>
              <w:t xml:space="preserve">Determines coarse physical structure of plant community. Surrogate for competitive ability: taller plants receive more light but must construct and maintain support </w:t>
            </w:r>
            <w:r w:rsidRPr="009A7D63">
              <w:rPr>
                <w:rFonts w:eastAsia="Times New Roman" w:cs="Arial"/>
                <w:sz w:val="20"/>
                <w:szCs w:val="20"/>
                <w:lang w:eastAsia="en-AU"/>
              </w:rPr>
              <w:lastRenderedPageBreak/>
              <w:t>structures</w:t>
            </w:r>
            <w:r w:rsidR="005B4179">
              <w:rPr>
                <w:rFonts w:eastAsia="Times New Roman" w:cs="Arial"/>
                <w:sz w:val="20"/>
                <w:szCs w:val="20"/>
                <w:lang w:eastAsia="en-AU"/>
              </w:rPr>
              <w:t xml:space="preserve"> </w:t>
            </w:r>
            <w:r w:rsidR="005B4179">
              <w:rPr>
                <w:rFonts w:eastAsia="Times New Roman" w:cs="Arial"/>
                <w:sz w:val="20"/>
                <w:szCs w:val="20"/>
                <w:lang w:eastAsia="en-AU"/>
              </w:rPr>
              <w:fldChar w:fldCharType="begin" w:fldLock="1"/>
            </w:r>
            <w:r w:rsidR="005B4179">
              <w:rPr>
                <w:rFonts w:eastAsia="Times New Roman" w:cs="Arial"/>
                <w:sz w:val="20"/>
                <w:szCs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5B4179">
              <w:rPr>
                <w:rFonts w:eastAsia="Times New Roman" w:cs="Arial"/>
                <w:sz w:val="20"/>
                <w:szCs w:val="20"/>
                <w:lang w:eastAsia="en-AU"/>
              </w:rPr>
              <w:fldChar w:fldCharType="separate"/>
            </w:r>
            <w:r w:rsidR="005B4179" w:rsidRPr="005B4179">
              <w:rPr>
                <w:rFonts w:eastAsia="Times New Roman" w:cs="Arial"/>
                <w:noProof/>
                <w:sz w:val="20"/>
                <w:szCs w:val="20"/>
                <w:lang w:eastAsia="en-AU"/>
              </w:rPr>
              <w:t>(Falster 2006)</w:t>
            </w:r>
            <w:r w:rsidR="005B4179">
              <w:rPr>
                <w:rFonts w:eastAsia="Times New Roman" w:cs="Arial"/>
                <w:sz w:val="20"/>
                <w:szCs w:val="20"/>
                <w:lang w:eastAsia="en-AU"/>
              </w:rPr>
              <w:fldChar w:fldCharType="end"/>
            </w:r>
            <w:r w:rsidRPr="009A7D63">
              <w:rPr>
                <w:rFonts w:eastAsia="Times New Roman" w:cs="Arial"/>
                <w:sz w:val="20"/>
                <w:szCs w:val="20"/>
                <w:lang w:eastAsia="en-AU"/>
              </w:rPr>
              <w:t>.</w:t>
            </w:r>
          </w:p>
        </w:tc>
      </w:tr>
      <w:tr w:rsidR="00CD016A" w14:paraId="609916A8" w14:textId="77777777" w:rsidTr="00F20A65">
        <w:tc>
          <w:tcPr>
            <w:tcW w:w="2254" w:type="dxa"/>
          </w:tcPr>
          <w:p w14:paraId="4FCFC304" w14:textId="4284D861" w:rsidR="00CD016A" w:rsidRPr="00CA65EA" w:rsidRDefault="00CD016A" w:rsidP="009A7D63">
            <w:pPr>
              <w:spacing w:line="360" w:lineRule="auto"/>
              <w:rPr>
                <w:i/>
                <w:sz w:val="20"/>
                <w:szCs w:val="20"/>
              </w:rPr>
            </w:pPr>
            <w:r w:rsidRPr="00CA65EA">
              <w:rPr>
                <w:i/>
                <w:sz w:val="20"/>
                <w:szCs w:val="20"/>
              </w:rPr>
              <w:lastRenderedPageBreak/>
              <w:t>Seed mass</w:t>
            </w:r>
          </w:p>
        </w:tc>
        <w:tc>
          <w:tcPr>
            <w:tcW w:w="2254" w:type="dxa"/>
          </w:tcPr>
          <w:p w14:paraId="12DFAD57" w14:textId="4BBE6196"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Combined mass of the seed coat, endosperm and embryo (g). Excludes dispersal structures.</w:t>
            </w:r>
          </w:p>
          <w:p w14:paraId="7079529C" w14:textId="77777777" w:rsidR="00CD016A" w:rsidRPr="009A7D63" w:rsidRDefault="00CD016A" w:rsidP="009A7D63">
            <w:pPr>
              <w:spacing w:line="360" w:lineRule="auto"/>
              <w:rPr>
                <w:rFonts w:eastAsia="Times New Roman" w:cs="Arial"/>
                <w:sz w:val="20"/>
                <w:szCs w:val="20"/>
                <w:lang w:eastAsia="en-AU"/>
              </w:rPr>
            </w:pPr>
          </w:p>
        </w:tc>
        <w:tc>
          <w:tcPr>
            <w:tcW w:w="2254" w:type="dxa"/>
          </w:tcPr>
          <w:p w14:paraId="79630E06" w14:textId="13E65850" w:rsidR="00CD016A" w:rsidRPr="009A7D63" w:rsidRDefault="00C43D92" w:rsidP="005B4179">
            <w:pPr>
              <w:spacing w:line="360" w:lineRule="auto"/>
              <w:rPr>
                <w:sz w:val="20"/>
                <w:szCs w:val="20"/>
              </w:rPr>
            </w:pPr>
            <w:r w:rsidRPr="009A7D63">
              <w:rPr>
                <w:sz w:val="20"/>
                <w:szCs w:val="20"/>
              </w:rPr>
              <w:t>Larger seed mass confers ability to establish in unfavourable conditions</w:t>
            </w:r>
            <w:r w:rsidR="005B4179">
              <w:rPr>
                <w:sz w:val="20"/>
                <w:szCs w:val="20"/>
              </w:rPr>
              <w:t xml:space="preserve"> </w:t>
            </w:r>
            <w:r w:rsidR="005B4179">
              <w:rPr>
                <w:sz w:val="20"/>
                <w:szCs w:val="20"/>
              </w:rPr>
              <w:fldChar w:fldCharType="begin" w:fldLock="1"/>
            </w:r>
            <w:r w:rsidR="005B4179">
              <w:rPr>
                <w:sz w:val="20"/>
                <w:szCs w:val="20"/>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5B4179">
              <w:rPr>
                <w:sz w:val="20"/>
                <w:szCs w:val="20"/>
              </w:rPr>
              <w:fldChar w:fldCharType="separate"/>
            </w:r>
            <w:r w:rsidR="005B4179" w:rsidRPr="005B4179">
              <w:rPr>
                <w:noProof/>
                <w:sz w:val="20"/>
                <w:szCs w:val="20"/>
              </w:rPr>
              <w:t xml:space="preserve">(Leishman </w:t>
            </w:r>
            <w:r w:rsidR="005B4179" w:rsidRPr="005B4179">
              <w:rPr>
                <w:i/>
                <w:noProof/>
                <w:sz w:val="20"/>
                <w:szCs w:val="20"/>
              </w:rPr>
              <w:t>et al.</w:t>
            </w:r>
            <w:r w:rsidR="005B4179" w:rsidRPr="005B4179">
              <w:rPr>
                <w:noProof/>
                <w:sz w:val="20"/>
                <w:szCs w:val="20"/>
              </w:rPr>
              <w:t xml:space="preserve"> 2000)</w:t>
            </w:r>
            <w:r w:rsidR="005B4179">
              <w:rPr>
                <w:sz w:val="20"/>
                <w:szCs w:val="20"/>
              </w:rPr>
              <w:fldChar w:fldCharType="end"/>
            </w:r>
            <w:r w:rsidRPr="009A7D63">
              <w:rPr>
                <w:sz w:val="20"/>
                <w:szCs w:val="20"/>
              </w:rPr>
              <w:t>. Also related to seed buoyancy</w:t>
            </w:r>
            <w:r w:rsidR="005B4179">
              <w:rPr>
                <w:sz w:val="20"/>
                <w:szCs w:val="20"/>
              </w:rPr>
              <w:t xml:space="preserve"> (Carthey 2014, </w:t>
            </w:r>
            <w:r w:rsidR="005B4179" w:rsidRPr="005B4179">
              <w:rPr>
                <w:i/>
                <w:sz w:val="20"/>
                <w:szCs w:val="20"/>
              </w:rPr>
              <w:t>unpublished data</w:t>
            </w:r>
            <w:r w:rsidR="005B4179">
              <w:rPr>
                <w:sz w:val="20"/>
                <w:szCs w:val="20"/>
              </w:rPr>
              <w:t>)</w:t>
            </w:r>
            <w:r w:rsidRPr="009A7D63">
              <w:rPr>
                <w:sz w:val="20"/>
                <w:szCs w:val="20"/>
              </w:rPr>
              <w:t>.</w:t>
            </w:r>
          </w:p>
        </w:tc>
        <w:tc>
          <w:tcPr>
            <w:tcW w:w="2254" w:type="dxa"/>
          </w:tcPr>
          <w:p w14:paraId="681DF6FC" w14:textId="413FE363" w:rsidR="00CD016A" w:rsidRPr="009A7D63" w:rsidRDefault="00C43D92" w:rsidP="009A7D63">
            <w:pPr>
              <w:spacing w:line="360" w:lineRule="auto"/>
              <w:rPr>
                <w:sz w:val="20"/>
                <w:szCs w:val="20"/>
              </w:rPr>
            </w:pPr>
            <w:r w:rsidRPr="009A7D63">
              <w:rPr>
                <w:sz w:val="20"/>
                <w:szCs w:val="20"/>
              </w:rPr>
              <w:t xml:space="preserve">Seeds may be an important food source for animals. </w:t>
            </w:r>
          </w:p>
        </w:tc>
      </w:tr>
      <w:tr w:rsidR="00CD016A" w14:paraId="08305939" w14:textId="77777777" w:rsidTr="00F20A65">
        <w:tc>
          <w:tcPr>
            <w:tcW w:w="2254" w:type="dxa"/>
          </w:tcPr>
          <w:p w14:paraId="0390EF7F" w14:textId="7D6DC98A" w:rsidR="00CD016A" w:rsidRPr="00CA65EA" w:rsidRDefault="00CD016A" w:rsidP="009A7D63">
            <w:pPr>
              <w:spacing w:line="360" w:lineRule="auto"/>
              <w:rPr>
                <w:i/>
                <w:sz w:val="20"/>
                <w:szCs w:val="20"/>
              </w:rPr>
            </w:pPr>
            <w:r w:rsidRPr="00CA65EA">
              <w:rPr>
                <w:i/>
                <w:sz w:val="20"/>
                <w:szCs w:val="20"/>
              </w:rPr>
              <w:t>Wood density</w:t>
            </w:r>
          </w:p>
        </w:tc>
        <w:tc>
          <w:tcPr>
            <w:tcW w:w="2254" w:type="dxa"/>
          </w:tcPr>
          <w:p w14:paraId="6A408D56" w14:textId="24E6B60F"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Oven dry mass divided by green volume (g/cm</w:t>
            </w:r>
            <w:r w:rsidRPr="009A7D63">
              <w:rPr>
                <w:rFonts w:eastAsia="Times New Roman" w:cs="Arial"/>
                <w:sz w:val="20"/>
                <w:szCs w:val="20"/>
                <w:vertAlign w:val="superscript"/>
                <w:lang w:eastAsia="en-AU"/>
              </w:rPr>
              <w:t>3</w:t>
            </w:r>
            <w:r w:rsidRPr="009A7D63">
              <w:rPr>
                <w:rFonts w:eastAsia="Times New Roman" w:cs="Arial"/>
                <w:sz w:val="20"/>
                <w:szCs w:val="20"/>
                <w:lang w:eastAsia="en-AU"/>
              </w:rPr>
              <w:t>)</w:t>
            </w:r>
          </w:p>
        </w:tc>
        <w:tc>
          <w:tcPr>
            <w:tcW w:w="2254" w:type="dxa"/>
          </w:tcPr>
          <w:p w14:paraId="497B10E8" w14:textId="6782F5ED" w:rsidR="00CD016A" w:rsidRPr="009A7D63" w:rsidRDefault="00C43D92" w:rsidP="009A7D63">
            <w:pPr>
              <w:spacing w:line="360" w:lineRule="auto"/>
              <w:rPr>
                <w:sz w:val="20"/>
                <w:szCs w:val="20"/>
              </w:rPr>
            </w:pPr>
            <w:r w:rsidRPr="009A7D63">
              <w:rPr>
                <w:rFonts w:eastAsia="Times New Roman" w:cs="Arial"/>
                <w:sz w:val="20"/>
                <w:szCs w:val="20"/>
                <w:lang w:eastAsia="en-AU"/>
              </w:rPr>
              <w:t xml:space="preserve">Dense wood tissue </w:t>
            </w:r>
            <w:r w:rsidR="004E6F3D" w:rsidRPr="009A7D63">
              <w:rPr>
                <w:rFonts w:eastAsia="Times New Roman" w:cs="Arial"/>
                <w:sz w:val="20"/>
                <w:szCs w:val="20"/>
                <w:lang w:eastAsia="en-AU"/>
              </w:rPr>
              <w:t xml:space="preserve">confers mechanical strength, but is </w:t>
            </w:r>
            <w:r w:rsidRPr="009A7D63">
              <w:rPr>
                <w:rFonts w:eastAsia="Times New Roman" w:cs="Arial"/>
                <w:sz w:val="20"/>
                <w:szCs w:val="20"/>
                <w:lang w:eastAsia="en-AU"/>
              </w:rPr>
              <w:t xml:space="preserve">energetically expensive </w:t>
            </w:r>
            <w:r w:rsidR="004E6F3D" w:rsidRPr="009A7D63">
              <w:rPr>
                <w:rFonts w:eastAsia="Times New Roman" w:cs="Arial"/>
                <w:sz w:val="20"/>
                <w:szCs w:val="20"/>
                <w:lang w:eastAsia="en-AU"/>
              </w:rPr>
              <w:t>to</w:t>
            </w:r>
            <w:r w:rsidRPr="009A7D63">
              <w:rPr>
                <w:rFonts w:eastAsia="Times New Roman" w:cs="Arial"/>
                <w:sz w:val="20"/>
                <w:szCs w:val="20"/>
                <w:lang w:eastAsia="en-AU"/>
              </w:rPr>
              <w:t xml:space="preserve"> construct. Wood density influences ability to tolerate drought stress and disturbance </w:t>
            </w:r>
            <w:r w:rsidRPr="009A7D63">
              <w:rPr>
                <w:rFonts w:eastAsia="Times New Roman" w:cs="Arial"/>
                <w:sz w:val="20"/>
                <w:szCs w:val="20"/>
                <w:lang w:eastAsia="en-AU"/>
              </w:rPr>
              <w:fldChar w:fldCharType="begin" w:fldLock="1"/>
            </w:r>
            <w:r w:rsidR="00326571">
              <w:rPr>
                <w:rFonts w:eastAsia="Times New Roman" w:cs="Arial"/>
                <w:sz w:val="20"/>
                <w:szCs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9A7D63">
              <w:rPr>
                <w:rFonts w:eastAsia="Times New Roman" w:cs="Arial"/>
                <w:sz w:val="20"/>
                <w:szCs w:val="20"/>
                <w:lang w:eastAsia="en-AU"/>
              </w:rPr>
              <w:fldChar w:fldCharType="separate"/>
            </w:r>
            <w:r w:rsidRPr="009A7D63">
              <w:rPr>
                <w:rFonts w:eastAsia="Times New Roman" w:cs="Arial"/>
                <w:noProof/>
                <w:sz w:val="20"/>
                <w:szCs w:val="20"/>
                <w:lang w:eastAsia="en-AU"/>
              </w:rPr>
              <w:t xml:space="preserve">(Telewski 1995; Preston, Cornwell &amp; Denoyer 2006; Lawson </w:t>
            </w:r>
            <w:r w:rsidRPr="009A7D63">
              <w:rPr>
                <w:rFonts w:eastAsia="Times New Roman" w:cs="Arial"/>
                <w:i/>
                <w:noProof/>
                <w:sz w:val="20"/>
                <w:szCs w:val="20"/>
                <w:lang w:eastAsia="en-AU"/>
              </w:rPr>
              <w:t>et al</w:t>
            </w:r>
            <w:r w:rsidRPr="009A7D63">
              <w:rPr>
                <w:rFonts w:eastAsia="Times New Roman" w:cs="Arial"/>
                <w:noProof/>
                <w:sz w:val="20"/>
                <w:szCs w:val="20"/>
                <w:lang w:eastAsia="en-AU"/>
              </w:rPr>
              <w:t>. 2015)</w:t>
            </w:r>
            <w:r w:rsidRPr="009A7D63">
              <w:rPr>
                <w:rFonts w:eastAsia="Times New Roman" w:cs="Arial"/>
                <w:sz w:val="20"/>
                <w:szCs w:val="20"/>
                <w:lang w:eastAsia="en-AU"/>
              </w:rPr>
              <w:fldChar w:fldCharType="end"/>
            </w:r>
            <w:r w:rsidRPr="009A7D63">
              <w:rPr>
                <w:rFonts w:eastAsia="Times New Roman" w:cs="Arial"/>
                <w:sz w:val="20"/>
                <w:szCs w:val="20"/>
                <w:lang w:eastAsia="en-AU"/>
              </w:rPr>
              <w:t>.</w:t>
            </w:r>
          </w:p>
        </w:tc>
        <w:tc>
          <w:tcPr>
            <w:tcW w:w="2254" w:type="dxa"/>
          </w:tcPr>
          <w:p w14:paraId="11446701" w14:textId="5EE21721" w:rsidR="00CD016A" w:rsidRPr="009A7D63" w:rsidRDefault="004E6F3D" w:rsidP="009A7D63">
            <w:pPr>
              <w:spacing w:line="360" w:lineRule="auto"/>
              <w:rPr>
                <w:sz w:val="20"/>
                <w:szCs w:val="20"/>
              </w:rPr>
            </w:pPr>
            <w:r w:rsidRPr="009A7D63">
              <w:rPr>
                <w:sz w:val="20"/>
                <w:szCs w:val="20"/>
              </w:rPr>
              <w:t>Regulates</w:t>
            </w:r>
            <w:r w:rsidR="00C43D92" w:rsidRPr="009A7D63">
              <w:rPr>
                <w:sz w:val="20"/>
                <w:szCs w:val="20"/>
              </w:rPr>
              <w:t xml:space="preserve"> decomposition rate; this affects nutrient cycling and </w:t>
            </w:r>
            <w:r w:rsidRPr="009A7D63">
              <w:rPr>
                <w:sz w:val="20"/>
                <w:szCs w:val="20"/>
              </w:rPr>
              <w:t>determines</w:t>
            </w:r>
            <w:r w:rsidR="00C43D92" w:rsidRPr="009A7D63">
              <w:rPr>
                <w:sz w:val="20"/>
                <w:szCs w:val="20"/>
              </w:rPr>
              <w:t xml:space="preserve"> the residency time of woody debris in the fluvial system</w:t>
            </w:r>
            <w:r w:rsidR="005B4179">
              <w:rPr>
                <w:sz w:val="20"/>
                <w:szCs w:val="20"/>
              </w:rPr>
              <w:t xml:space="preserve"> </w:t>
            </w:r>
            <w:r w:rsidR="005B4179">
              <w:rPr>
                <w:sz w:val="20"/>
                <w:szCs w:val="20"/>
              </w:rPr>
              <w:fldChar w:fldCharType="begin" w:fldLock="1"/>
            </w:r>
            <w:r w:rsidR="005B4179">
              <w:rPr>
                <w:sz w:val="20"/>
                <w:szCs w:val="20"/>
              </w:rPr>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 "properties" : { "noteIndex" : 0 }, "schema" : "https://github.com/citation-style-language/schema/raw/master/csl-citation.json" }</w:instrText>
            </w:r>
            <w:r w:rsidR="005B4179">
              <w:rPr>
                <w:sz w:val="20"/>
                <w:szCs w:val="20"/>
              </w:rPr>
              <w:fldChar w:fldCharType="separate"/>
            </w:r>
            <w:r w:rsidR="005B4179" w:rsidRPr="005B4179">
              <w:rPr>
                <w:noProof/>
                <w:sz w:val="20"/>
                <w:szCs w:val="20"/>
              </w:rPr>
              <w:t>(Mackensen, Bauhus &amp; Webber 2003)</w:t>
            </w:r>
            <w:r w:rsidR="005B4179">
              <w:rPr>
                <w:sz w:val="20"/>
                <w:szCs w:val="20"/>
              </w:rPr>
              <w:fldChar w:fldCharType="end"/>
            </w:r>
            <w:r w:rsidR="00C43D92" w:rsidRPr="009A7D63">
              <w:rPr>
                <w:sz w:val="20"/>
                <w:szCs w:val="20"/>
              </w:rPr>
              <w:t>.</w:t>
            </w:r>
          </w:p>
        </w:tc>
      </w:tr>
      <w:tr w:rsidR="00CD016A" w14:paraId="73FCE26A" w14:textId="77777777" w:rsidTr="00F20A65">
        <w:tc>
          <w:tcPr>
            <w:tcW w:w="2254" w:type="dxa"/>
          </w:tcPr>
          <w:p w14:paraId="5F8CC34C" w14:textId="0414A12C" w:rsidR="00CD016A" w:rsidRPr="00CA65EA" w:rsidRDefault="00CD016A" w:rsidP="009A7D63">
            <w:pPr>
              <w:spacing w:line="360" w:lineRule="auto"/>
              <w:rPr>
                <w:i/>
                <w:sz w:val="20"/>
                <w:szCs w:val="20"/>
              </w:rPr>
            </w:pPr>
            <w:r w:rsidRPr="00CA65EA">
              <w:rPr>
                <w:i/>
                <w:sz w:val="20"/>
                <w:szCs w:val="20"/>
              </w:rPr>
              <w:t>Flowering period length</w:t>
            </w:r>
          </w:p>
        </w:tc>
        <w:tc>
          <w:tcPr>
            <w:tcW w:w="2254" w:type="dxa"/>
          </w:tcPr>
          <w:p w14:paraId="362D295B" w14:textId="336A5EA9"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Proportion of the year spent in flower (proportion, dimensionless)</w:t>
            </w:r>
            <w:r w:rsidR="005B4179">
              <w:rPr>
                <w:rFonts w:eastAsia="Times New Roman" w:cs="Arial"/>
                <w:sz w:val="20"/>
                <w:szCs w:val="20"/>
                <w:lang w:eastAsia="en-AU"/>
              </w:rPr>
              <w:t>.</w:t>
            </w:r>
          </w:p>
        </w:tc>
        <w:tc>
          <w:tcPr>
            <w:tcW w:w="2254" w:type="dxa"/>
          </w:tcPr>
          <w:p w14:paraId="7D984D5D" w14:textId="28CC3B84" w:rsidR="00CD016A" w:rsidRPr="009A7D63" w:rsidRDefault="004E6F3D" w:rsidP="009A7D63">
            <w:pPr>
              <w:spacing w:line="360" w:lineRule="auto"/>
              <w:rPr>
                <w:sz w:val="20"/>
                <w:szCs w:val="20"/>
              </w:rPr>
            </w:pPr>
            <w:r w:rsidRPr="009A7D63">
              <w:rPr>
                <w:noProof/>
                <w:sz w:val="20"/>
                <w:szCs w:val="20"/>
              </w:rPr>
              <w:t>Indicates species’ ability to respond reproductively to favourable conditions.</w:t>
            </w:r>
          </w:p>
        </w:tc>
        <w:tc>
          <w:tcPr>
            <w:tcW w:w="2254" w:type="dxa"/>
          </w:tcPr>
          <w:p w14:paraId="56DCE9A9" w14:textId="5711B75C" w:rsidR="00CD016A" w:rsidRPr="009A7D63" w:rsidRDefault="00712310" w:rsidP="009A7D63">
            <w:pPr>
              <w:spacing w:line="360" w:lineRule="auto"/>
              <w:rPr>
                <w:sz w:val="20"/>
                <w:szCs w:val="20"/>
              </w:rPr>
            </w:pPr>
            <w:r w:rsidRPr="009A7D63">
              <w:rPr>
                <w:sz w:val="20"/>
                <w:szCs w:val="20"/>
              </w:rPr>
              <w:t>Flowers may be an important food source for animals.</w:t>
            </w:r>
          </w:p>
        </w:tc>
      </w:tr>
    </w:tbl>
    <w:p w14:paraId="1F9E6C24" w14:textId="77777777" w:rsidR="00342A01" w:rsidRDefault="00342A01" w:rsidP="00BE079E">
      <w:pPr>
        <w:shd w:val="clear" w:color="auto" w:fill="FFFFFF"/>
        <w:spacing w:after="0" w:line="480" w:lineRule="auto"/>
        <w:jc w:val="both"/>
      </w:pPr>
    </w:p>
    <w:p w14:paraId="409FFC85" w14:textId="54A74432" w:rsidR="00546EE3" w:rsidRDefault="00546EE3" w:rsidP="00BE079E">
      <w:pPr>
        <w:shd w:val="clear" w:color="auto" w:fill="FFFFFF"/>
        <w:spacing w:after="0" w:line="480" w:lineRule="auto"/>
        <w:jc w:val="both"/>
        <w:rPr>
          <w:i/>
        </w:rPr>
      </w:pPr>
      <w:r w:rsidRPr="00546EE3">
        <w:rPr>
          <w:i/>
        </w:rPr>
        <w:t>Calculating functional diversity, species richness and proportional abundance of exotics</w:t>
      </w:r>
    </w:p>
    <w:p w14:paraId="124FB45C" w14:textId="40F9535C" w:rsidR="00581C80" w:rsidRDefault="00581C80" w:rsidP="00B546DB">
      <w:pPr>
        <w:spacing w:line="360" w:lineRule="auto"/>
      </w:pPr>
      <w:r>
        <w:t xml:space="preserve">Functional richness (FRic) and functional divergence (FDiv) are complementary metrics of functional trait diversity, which together, describe the range and distribution of trait values in a community </w:t>
      </w:r>
      <w:r>
        <w:fldChar w:fldCharType="begin" w:fldLock="1"/>
      </w:r>
      <w:r w:rsidR="006E531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Pr="00581C80">
        <w:rPr>
          <w:noProof/>
        </w:rPr>
        <w:t>(Villéger, Mason &amp; Mouillot 2008)</w:t>
      </w:r>
      <w:r>
        <w:fldChar w:fldCharType="end"/>
      </w:r>
      <w:r>
        <w:t xml:space="preserve">. </w:t>
      </w:r>
      <w:r w:rsidR="00B546DB">
        <w:t xml:space="preserve">FRic represents the volume of the convex hull of trait values in a given community while FDiv provides information about the abundance distribution of trait values across this range. </w:t>
      </w:r>
    </w:p>
    <w:p w14:paraId="4B93AD19" w14:textId="0DEEC325" w:rsidR="003D3261" w:rsidRDefault="00546EE3" w:rsidP="00BE079E">
      <w:pPr>
        <w:shd w:val="clear" w:color="auto" w:fill="FFFFFF"/>
        <w:spacing w:after="0" w:line="480" w:lineRule="auto"/>
        <w:jc w:val="both"/>
      </w:pPr>
      <w:r>
        <w:t xml:space="preserve">We calculated </w:t>
      </w:r>
      <w:r w:rsidR="003D3261">
        <w:t>functional richness and abundance-weighted functional dispersion</w:t>
      </w:r>
      <w:r w:rsidR="00B546DB">
        <w:t xml:space="preserve"> (FDis)</w:t>
      </w:r>
      <w:r w:rsidR="00581C80">
        <w:t xml:space="preserve"> </w:t>
      </w:r>
      <w:r>
        <w:t>of vegetation communities at each site</w:t>
      </w:r>
      <w:r w:rsidR="000C54E2">
        <w:t>,</w:t>
      </w:r>
      <w:r>
        <w:t xml:space="preserve"> using the </w:t>
      </w:r>
      <w:r w:rsidRPr="00581C80">
        <w:rPr>
          <w:i/>
        </w:rPr>
        <w:t>FD</w:t>
      </w:r>
      <w:r>
        <w:t xml:space="preserve"> package for R </w:t>
      </w:r>
      <w:r>
        <w:fldChar w:fldCharType="begin" w:fldLock="1"/>
      </w:r>
      <w:r w:rsidR="00326571">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26571" w:rsidRPr="00326571">
        <w:rPr>
          <w:noProof/>
        </w:rPr>
        <w:t>(Laliberté &amp; Legendre 2010)</w:t>
      </w:r>
      <w:r>
        <w:fldChar w:fldCharType="end"/>
      </w:r>
      <w:r>
        <w:t xml:space="preserve">. </w:t>
      </w:r>
      <w:r w:rsidR="000C54E2">
        <w:t>Gower’s method</w:t>
      </w:r>
      <w:r w:rsidR="00F900DF">
        <w:t xml:space="preserve">, </w:t>
      </w:r>
      <w:r w:rsidR="00F900DF">
        <w:lastRenderedPageBreak/>
        <w:t>which scales traits by their range,</w:t>
      </w:r>
      <w:r w:rsidR="000C54E2">
        <w:t xml:space="preserve"> was used to generate the required </w:t>
      </w:r>
      <w:r w:rsidR="00F900DF">
        <w:t>dissimilarity matrix</w:t>
      </w:r>
      <w:r w:rsidR="000C54E2">
        <w:t xml:space="preserve">, and Cailliez’s correction was applied to render the matrix </w:t>
      </w:r>
      <w:r w:rsidR="00750709">
        <w:t>e</w:t>
      </w:r>
      <w:r w:rsidR="000C54E2">
        <w:t xml:space="preserve">uclidean. </w:t>
      </w:r>
      <w:r w:rsidR="003D3261">
        <w:t>We</w:t>
      </w:r>
      <w:r w:rsidR="00AF07DD">
        <w:t xml:space="preserve"> </w:t>
      </w:r>
      <w:r w:rsidR="003D3261">
        <w:t xml:space="preserve">transformed </w:t>
      </w:r>
      <w:r w:rsidR="0098358C">
        <w:t>FRic and FDis</w:t>
      </w:r>
      <w:r w:rsidR="003D3261">
        <w:t xml:space="preserve"> into standardised effect sizes (SES): SES = (obs – nullExp) / sd(nullExp), where obs is the observed functional diversity value and nullExp and sd(nullExp) are the mean and standard deviation of the expected functional diversity in 999 randomized communities </w:t>
      </w:r>
      <w:r w:rsidR="00890C8D">
        <w:fldChar w:fldCharType="begin" w:fldLock="1"/>
      </w:r>
      <w:r w:rsidR="00DB15D2">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00890C8D">
        <w:fldChar w:fldCharType="separate"/>
      </w:r>
      <w:r w:rsidR="00890C8D" w:rsidRPr="00890C8D">
        <w:rPr>
          <w:noProof/>
        </w:rPr>
        <w:t>(Gotelli &amp; Rohde 2002)</w:t>
      </w:r>
      <w:r w:rsidR="00890C8D">
        <w:fldChar w:fldCharType="end"/>
      </w:r>
      <w:r w:rsidR="003D3261">
        <w:t>.</w:t>
      </w:r>
      <w:r w:rsidR="00890C8D">
        <w:t xml:space="preserve"> </w:t>
      </w:r>
      <w:r w:rsidR="00AF07DD">
        <w:t>The null model for comparison with FRic was generated using the trial-swap algorithm</w:t>
      </w:r>
      <w:r w:rsidR="00DB15D2">
        <w:t xml:space="preserve"> </w:t>
      </w:r>
      <w:r w:rsidR="00DB15D2">
        <w:fldChar w:fldCharType="begin" w:fldLock="1"/>
      </w:r>
      <w:r w:rsidR="0015643B">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00DB15D2">
        <w:fldChar w:fldCharType="separate"/>
      </w:r>
      <w:r w:rsidR="00DB15D2" w:rsidRPr="00DB15D2">
        <w:rPr>
          <w:noProof/>
        </w:rPr>
        <w:t>(Miklós &amp; Podani 2004)</w:t>
      </w:r>
      <w:r w:rsidR="00DB15D2">
        <w:fldChar w:fldCharType="end"/>
      </w:r>
      <w:r w:rsidR="00AF07DD">
        <w:t xml:space="preserve"> in the </w:t>
      </w:r>
      <w:r w:rsidR="00DB15D2">
        <w:rPr>
          <w:i/>
        </w:rPr>
        <w:t xml:space="preserve">picante </w:t>
      </w:r>
      <w:r w:rsidR="00DB15D2">
        <w:t xml:space="preserve">package </w:t>
      </w:r>
      <w:r w:rsidR="00DB15D2">
        <w:fldChar w:fldCharType="begin" w:fldLock="1"/>
      </w:r>
      <w:r w:rsidR="00DB15D2">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DB15D2">
        <w:fldChar w:fldCharType="separate"/>
      </w:r>
      <w:r w:rsidR="00DB15D2" w:rsidRPr="00DB15D2">
        <w:rPr>
          <w:noProof/>
        </w:rPr>
        <w:t xml:space="preserve">(Kembel </w:t>
      </w:r>
      <w:r w:rsidR="00DB15D2" w:rsidRPr="00DB15D2">
        <w:rPr>
          <w:i/>
          <w:noProof/>
        </w:rPr>
        <w:t>et al.</w:t>
      </w:r>
      <w:r w:rsidR="00DB15D2" w:rsidRPr="00DB15D2">
        <w:rPr>
          <w:noProof/>
        </w:rPr>
        <w:t xml:space="preserve"> 2010)</w:t>
      </w:r>
      <w:r w:rsidR="00DB15D2">
        <w:fldChar w:fldCharType="end"/>
      </w:r>
      <w:r w:rsidR="00DB15D2">
        <w:t xml:space="preserve"> to remove dependence on species richness</w:t>
      </w:r>
      <w:r w:rsidR="0098358C">
        <w:t>.</w:t>
      </w:r>
      <w:r w:rsidR="00DB15D2">
        <w:t xml:space="preserve"> </w:t>
      </w:r>
      <w:r w:rsidR="0098358C">
        <w:t>T</w:t>
      </w:r>
      <w:r w:rsidR="00DB15D2">
        <w:t>he null model for comparison with FDis was generated by randomizing abundances among species but within plots</w:t>
      </w:r>
      <w:r w:rsidR="0098358C">
        <w:t xml:space="preserve"> (using the resamp.2s  function in </w:t>
      </w:r>
      <w:r w:rsidR="0098358C" w:rsidRPr="0098358C">
        <w:rPr>
          <w:i/>
        </w:rPr>
        <w:t>spacodiR</w:t>
      </w:r>
      <w:r w:rsidR="0098358C">
        <w:t xml:space="preserve">) </w:t>
      </w:r>
      <w:r w:rsidR="0098358C">
        <w:fldChar w:fldCharType="begin" w:fldLock="1"/>
      </w:r>
      <w:r w:rsidR="0098358C">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98358C">
        <w:fldChar w:fldCharType="separate"/>
      </w:r>
      <w:r w:rsidR="0098358C" w:rsidRPr="0098358C">
        <w:rPr>
          <w:noProof/>
        </w:rPr>
        <w:t>(Eastman, Paine &amp; Hardy 2011)</w:t>
      </w:r>
      <w:r w:rsidR="0098358C">
        <w:fldChar w:fldCharType="end"/>
      </w:r>
      <w:r w:rsidR="00DB15D2">
        <w:t xml:space="preserve">, to generate a metric of pure functional divergence. </w:t>
      </w:r>
      <w:r w:rsidR="00AF07DD" w:rsidRPr="00DB15D2">
        <w:t>The</w:t>
      </w:r>
      <w:r w:rsidR="00AF07DD">
        <w:t xml:space="preserve"> resulting indices, FRic.SES and </w:t>
      </w:r>
      <w:r w:rsidR="0015643B">
        <w:t>FDis.SES</w:t>
      </w:r>
      <w:r w:rsidR="00A87024">
        <w:t xml:space="preserve">, have greater power </w:t>
      </w:r>
      <w:r w:rsidR="0015643B">
        <w:t xml:space="preserve">to detect community assembly processes than their unstandardized counterparts </w:t>
      </w:r>
      <w:r w:rsidR="0015643B">
        <w:fldChar w:fldCharType="begin" w:fldLock="1"/>
      </w:r>
      <w:r w:rsidR="0098358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15643B">
        <w:fldChar w:fldCharType="separate"/>
      </w:r>
      <w:r w:rsidR="0015643B" w:rsidRPr="0015643B">
        <w:rPr>
          <w:noProof/>
        </w:rPr>
        <w:t xml:space="preserve">(Mason </w:t>
      </w:r>
      <w:r w:rsidR="0015643B" w:rsidRPr="0015643B">
        <w:rPr>
          <w:i/>
          <w:noProof/>
        </w:rPr>
        <w:t>et al.</w:t>
      </w:r>
      <w:r w:rsidR="0015643B" w:rsidRPr="0015643B">
        <w:rPr>
          <w:noProof/>
        </w:rPr>
        <w:t xml:space="preserve"> 2013)</w:t>
      </w:r>
      <w:r w:rsidR="0015643B">
        <w:fldChar w:fldCharType="end"/>
      </w:r>
      <w:r w:rsidR="0015643B">
        <w:t>.</w:t>
      </w:r>
    </w:p>
    <w:p w14:paraId="56FA81D6" w14:textId="77777777" w:rsidR="003D3261" w:rsidRDefault="003D3261" w:rsidP="00BE079E">
      <w:pPr>
        <w:shd w:val="clear" w:color="auto" w:fill="FFFFFF"/>
        <w:spacing w:after="0" w:line="480" w:lineRule="auto"/>
        <w:jc w:val="both"/>
      </w:pPr>
    </w:p>
    <w:p w14:paraId="16AC880C" w14:textId="0B5DE821" w:rsidR="00546EE3" w:rsidRDefault="003D3261" w:rsidP="00BE079E">
      <w:pPr>
        <w:shd w:val="clear" w:color="auto" w:fill="FFFFFF"/>
        <w:spacing w:after="0" w:line="480" w:lineRule="auto"/>
        <w:jc w:val="both"/>
      </w:pPr>
      <w:r w:rsidRPr="003D3261">
        <w:t>We calculated the standardized effect size (SES)</w:t>
      </w:r>
      <w:r>
        <w:t xml:space="preserve"> of FRic and FDis</w:t>
      </w:r>
      <w:r w:rsidRPr="003D3261">
        <w:t xml:space="preserve"> according to</w:t>
      </w:r>
      <w:r w:rsidR="006E531C">
        <w:t xml:space="preserve"> </w:t>
      </w:r>
      <w:r w:rsidR="006E531C">
        <w:fldChar w:fldCharType="begin" w:fldLock="1"/>
      </w:r>
      <w:r w:rsidR="006E531C">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"manualFormatting" : "Gotelli &amp; Rohde (2002)", "plainTextFormattedCitation" : "(Gotelli &amp; Rohde 2002)", "previouslyFormattedCitation" : "(Gotelli &amp; Rohde 2002)" }, "properties" : { "noteIndex" : 0 }, "schema" : "https://github.com/citation-style-language/schema/raw/master/csl-citation.json" }</w:instrText>
      </w:r>
      <w:r w:rsidR="006E531C">
        <w:fldChar w:fldCharType="separate"/>
      </w:r>
      <w:r w:rsidR="006E531C" w:rsidRPr="006E531C">
        <w:rPr>
          <w:noProof/>
        </w:rPr>
        <w:t xml:space="preserve">Gotelli &amp; Rohde </w:t>
      </w:r>
      <w:r w:rsidR="006E531C">
        <w:rPr>
          <w:noProof/>
        </w:rPr>
        <w:t>(</w:t>
      </w:r>
      <w:r w:rsidR="006E531C" w:rsidRPr="006E531C">
        <w:rPr>
          <w:noProof/>
        </w:rPr>
        <w:t>2002)</w:t>
      </w:r>
      <w:r w:rsidR="006E531C">
        <w:fldChar w:fldCharType="end"/>
      </w:r>
      <w:r w:rsidRPr="003D3261">
        <w:t xml:space="preserve"> as the ratio between observed to expected values of trait diversity: SES = (Obs − Exp)/sd(Exp), where Obs is the observed trait diversity value and Exp and sd(Exp) are the mean and the standard deviation of the expected trait diversity in the 999 random communities.</w:t>
      </w:r>
    </w:p>
    <w:p w14:paraId="57296B74" w14:textId="77777777" w:rsidR="003D3261" w:rsidRDefault="003D3261" w:rsidP="00BE079E">
      <w:pPr>
        <w:shd w:val="clear" w:color="auto" w:fill="FFFFFF"/>
        <w:spacing w:after="0" w:line="480" w:lineRule="auto"/>
        <w:jc w:val="both"/>
      </w:pPr>
    </w:p>
    <w:p w14:paraId="2EE53EA5" w14:textId="7BD09176" w:rsidR="00546EE3" w:rsidRDefault="00EF0093" w:rsidP="00546EE3">
      <w:pPr>
        <w:spacing w:line="480" w:lineRule="auto"/>
        <w:jc w:val="both"/>
      </w:pPr>
      <w:r>
        <w:t>Where required, trait values were normalised by either log</w:t>
      </w:r>
      <w:r w:rsidRPr="00EF0093">
        <w:rPr>
          <w:vertAlign w:val="subscript"/>
        </w:rPr>
        <w:t>10</w:t>
      </w:r>
      <w:r>
        <w:t xml:space="preserve"> (SLA, seed mass) or square root (leaf </w:t>
      </w:r>
      <w:r w:rsidR="00B33BD8">
        <w:t>area, maximum height, flowering duration</w:t>
      </w:r>
      <w:r>
        <w:t xml:space="preserve">) transformation </w:t>
      </w:r>
      <w:r w:rsidR="00546EE3">
        <w:t>prior to analysis</w:t>
      </w:r>
      <w:r w:rsidR="0096340B">
        <w:t>.</w:t>
      </w:r>
      <w:r>
        <w:t xml:space="preserve"> </w:t>
      </w:r>
      <w:r w:rsidR="0096340B">
        <w:t>W</w:t>
      </w:r>
      <w:r w:rsidR="00F900DF">
        <w:t>ood density was not transformed</w:t>
      </w:r>
      <w:r w:rsidR="00546EE3">
        <w:t xml:space="preserve">. </w:t>
      </w:r>
      <w:r w:rsidR="00546EE3" w:rsidRPr="00C05647">
        <w:t xml:space="preserve">Summary statistics </w:t>
      </w:r>
      <w:r w:rsidR="00D030FD" w:rsidRPr="00C05647">
        <w:t>for</w:t>
      </w:r>
      <w:r w:rsidR="00546EE3" w:rsidRPr="00C05647">
        <w:t xml:space="preserve"> the trait dataset are </w:t>
      </w:r>
      <w:r w:rsidR="00C05647">
        <w:t>shown</w:t>
      </w:r>
      <w:bookmarkStart w:id="1" w:name="_GoBack"/>
      <w:bookmarkEnd w:id="1"/>
      <w:r w:rsidR="00546EE3" w:rsidRPr="00C05647">
        <w:t xml:space="preserve"> in the Supporting Information</w:t>
      </w:r>
      <w:r w:rsidR="00C05647" w:rsidRPr="00C05647">
        <w:t xml:space="preserve"> S1</w:t>
      </w:r>
      <w:r w:rsidR="00546EE3" w:rsidRPr="00C05647">
        <w:t>.</w:t>
      </w:r>
    </w:p>
    <w:p w14:paraId="0AAD3479" w14:textId="7F76B363" w:rsidR="00A93F22" w:rsidRPr="00A93F22" w:rsidRDefault="00FA41C9" w:rsidP="00966029">
      <w:pPr>
        <w:spacing w:line="360" w:lineRule="auto"/>
        <w:rPr>
          <w:color w:val="FF0000"/>
        </w:rPr>
      </w:pPr>
      <w:commentRangeStart w:id="2"/>
      <w:commentRangeStart w:id="3"/>
      <w:r>
        <w:t>Species richness values were standardised by sampling area t</w:t>
      </w:r>
      <w:r w:rsidR="00B12E1D">
        <w:t xml:space="preserve">o account </w:t>
      </w:r>
      <w:r>
        <w:t xml:space="preserve">for </w:t>
      </w:r>
      <w:r w:rsidR="00817305">
        <w:t>differences in sampling effort</w:t>
      </w:r>
      <w:r w:rsidR="00B12E1D">
        <w:t xml:space="preserve">. </w:t>
      </w:r>
      <w:r w:rsidR="00817305">
        <w:t xml:space="preserve">Abundance of exotic species was calculated as the number of exotic individuals divided by the total number of individuals counted at each site. </w:t>
      </w:r>
      <w:commentRangeEnd w:id="2"/>
      <w:r w:rsidR="00674FD5">
        <w:rPr>
          <w:rStyle w:val="CommentReference"/>
        </w:rPr>
        <w:commentReference w:id="2"/>
      </w:r>
      <w:commentRangeEnd w:id="3"/>
      <w:r w:rsidR="00DF7311">
        <w:rPr>
          <w:rStyle w:val="CommentReference"/>
        </w:rPr>
        <w:commentReference w:id="3"/>
      </w:r>
    </w:p>
    <w:p w14:paraId="31C2BC2A" w14:textId="693C599B" w:rsidR="00A93F22" w:rsidRDefault="00326571" w:rsidP="00966029">
      <w:pPr>
        <w:spacing w:line="360" w:lineRule="auto"/>
      </w:pPr>
      <w:r w:rsidRPr="00542698">
        <w:rPr>
          <w:i/>
        </w:rPr>
        <w:t>Constructing variance partitioning models</w:t>
      </w:r>
    </w:p>
    <w:p w14:paraId="211FE8E9" w14:textId="77777777" w:rsidR="00770E18" w:rsidRDefault="00326571" w:rsidP="00966029">
      <w:pPr>
        <w:spacing w:line="360" w:lineRule="auto"/>
      </w:pPr>
      <w:r w:rsidRPr="00C26C6D">
        <w:t xml:space="preserve">We used a variance partitioning approach to assess the individual contributions of </w:t>
      </w:r>
      <w:r>
        <w:t xml:space="preserve">river </w:t>
      </w:r>
      <w:commentRangeStart w:id="4"/>
      <w:r>
        <w:t>flow regime</w:t>
      </w:r>
      <w:commentRangeEnd w:id="4"/>
      <w:r>
        <w:rPr>
          <w:rStyle w:val="CommentReference"/>
        </w:rPr>
        <w:commentReference w:id="4"/>
      </w:r>
      <w:r w:rsidRPr="00C26C6D">
        <w:t xml:space="preserve">, </w:t>
      </w:r>
      <w:r>
        <w:t xml:space="preserve">flow modification, land use, </w:t>
      </w:r>
      <w:r w:rsidRPr="00C26C6D">
        <w:t>climat</w:t>
      </w:r>
      <w:r>
        <w:t>e</w:t>
      </w:r>
      <w:r w:rsidRPr="00C26C6D">
        <w:t xml:space="preserve"> and edaphic conditions to modelling variation in</w:t>
      </w:r>
      <w:r>
        <w:t xml:space="preserve"> riparian plant</w:t>
      </w:r>
      <w:r w:rsidRPr="00C26C6D">
        <w:t xml:space="preserve"> </w:t>
      </w:r>
      <w:r>
        <w:lastRenderedPageBreak/>
        <w:t xml:space="preserve">species richness, functional diversity and exotic abundance. </w:t>
      </w:r>
      <w:r w:rsidR="00770E18">
        <w:t xml:space="preserve">Exotic proportional abundance was also included as an explanatory variable for species richness and functional diversity metrics. </w:t>
      </w:r>
    </w:p>
    <w:p w14:paraId="72E4B674" w14:textId="39760AA9" w:rsidR="000F75F1" w:rsidRDefault="00A03D2E" w:rsidP="00966029">
      <w:pPr>
        <w:spacing w:line="360" w:lineRule="auto"/>
      </w:pPr>
      <w:r>
        <w:t>The following process</w:t>
      </w:r>
      <w:r w:rsidR="00770E18">
        <w:t xml:space="preserve"> was used to derive an optimal set </w:t>
      </w:r>
      <w:r w:rsidR="00770E18" w:rsidRPr="006261D8">
        <w:t xml:space="preserve">of </w:t>
      </w:r>
      <w:r w:rsidRPr="006261D8">
        <w:t xml:space="preserve">environment-diversity </w:t>
      </w:r>
      <w:r w:rsidR="00770E18" w:rsidRPr="006261D8">
        <w:t>models</w:t>
      </w:r>
      <w:r>
        <w:t xml:space="preserve"> for variance partitioning analysis </w:t>
      </w:r>
      <w:r>
        <w:fldChar w:fldCharType="begin" w:fldLock="1"/>
      </w:r>
      <w:r w:rsidR="000F75F1">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fldChar w:fldCharType="separate"/>
      </w:r>
      <w:r w:rsidRPr="00A03D2E">
        <w:rPr>
          <w:noProof/>
        </w:rPr>
        <w:t>(Legendre 2007)</w:t>
      </w:r>
      <w:r>
        <w:fldChar w:fldCharType="end"/>
      </w:r>
      <w:r w:rsidR="000F75F1">
        <w:t>:</w:t>
      </w:r>
    </w:p>
    <w:p w14:paraId="2846C7AC" w14:textId="0A62033A" w:rsidR="000F75F1" w:rsidRDefault="00770E18" w:rsidP="002C6CF2">
      <w:pPr>
        <w:pStyle w:val="ListParagraph"/>
        <w:numPr>
          <w:ilvl w:val="0"/>
          <w:numId w:val="2"/>
        </w:numPr>
        <w:spacing w:line="360" w:lineRule="auto"/>
      </w:pPr>
      <w:r>
        <w:t xml:space="preserve">We </w:t>
      </w:r>
      <w:r w:rsidR="00A03D2E">
        <w:t xml:space="preserve">first </w:t>
      </w:r>
      <w:r>
        <w:t>generated minimal ordinary least-squares regression models for each set of environmental variables</w:t>
      </w:r>
      <w:r w:rsidR="00A03D2E">
        <w:t xml:space="preserve"> (i.e. descriptors of flow regime, flow modification, land use etc.)</w:t>
      </w:r>
      <w:r w:rsidR="000F75F1">
        <w:t>.</w:t>
      </w:r>
      <w:r w:rsidR="00A03D2E">
        <w:t xml:space="preserve"> </w:t>
      </w:r>
    </w:p>
    <w:p w14:paraId="74D36AFB" w14:textId="1D2E75E1" w:rsidR="000F75F1" w:rsidRDefault="000F75F1" w:rsidP="002C6CF2">
      <w:pPr>
        <w:pStyle w:val="ListParagraph"/>
        <w:numPr>
          <w:ilvl w:val="0"/>
          <w:numId w:val="2"/>
        </w:numPr>
        <w:spacing w:line="360" w:lineRule="auto"/>
      </w:pPr>
      <w:r>
        <w:t>F</w:t>
      </w:r>
      <w:r w:rsidR="00770E18">
        <w:t xml:space="preserve">or each dependent variable, the full set of explanatory variables was reduced to the subset which had statistically significant (p &lt; 0.05) linear or quadratic </w:t>
      </w:r>
      <w:r w:rsidR="00A03D2E">
        <w:t xml:space="preserve">relationships. </w:t>
      </w:r>
      <w:r>
        <w:t>Second order AIC was used to determine whether the linear or quadratic term better explained variation in the dependent variable (</w:t>
      </w:r>
      <w:r w:rsidRPr="00581C80">
        <w:rPr>
          <w:i/>
        </w:rPr>
        <w:t>MuMIn</w:t>
      </w:r>
      <w:r w:rsidRPr="00C26C6D">
        <w:t xml:space="preserve"> package for R, </w:t>
      </w:r>
      <w:r w:rsidRPr="00C26C6D">
        <w:fldChar w:fldCharType="begin" w:fldLock="1"/>
      </w:r>
      <w:r w:rsidRPr="00C26C6D">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C26C6D">
        <w:fldChar w:fldCharType="separate"/>
      </w:r>
      <w:r w:rsidRPr="00C26C6D">
        <w:rPr>
          <w:noProof/>
        </w:rPr>
        <w:t>Barton, 2012</w:t>
      </w:r>
      <w:r w:rsidRPr="00C26C6D">
        <w:fldChar w:fldCharType="end"/>
      </w:r>
      <w:r w:rsidRPr="00C26C6D">
        <w:t xml:space="preserve">; </w:t>
      </w:r>
      <w:r w:rsidRPr="00C26C6D">
        <w:fldChar w:fldCharType="begin" w:fldLock="1"/>
      </w:r>
      <w:r w:rsidRPr="00C26C6D">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C26C6D">
        <w:fldChar w:fldCharType="separate"/>
      </w:r>
      <w:r w:rsidRPr="00C26C6D">
        <w:rPr>
          <w:noProof/>
        </w:rPr>
        <w:t>Burnham &amp; Anderson 2002)</w:t>
      </w:r>
      <w:r w:rsidRPr="00C26C6D">
        <w:fldChar w:fldCharType="end"/>
      </w:r>
      <w:r>
        <w:t>.</w:t>
      </w:r>
    </w:p>
    <w:p w14:paraId="64DC0CFC" w14:textId="67360989" w:rsidR="000F75F1" w:rsidRPr="00446367" w:rsidRDefault="000F75F1" w:rsidP="002C6CF2">
      <w:pPr>
        <w:pStyle w:val="ListParagraph"/>
        <w:numPr>
          <w:ilvl w:val="0"/>
          <w:numId w:val="2"/>
        </w:numPr>
        <w:spacing w:line="360" w:lineRule="auto"/>
      </w:pPr>
      <w:r>
        <w:t>For each set of environmental variables, v</w:t>
      </w:r>
      <w:r w:rsidR="00A03D2E">
        <w:t xml:space="preserve">ariance explained by these univariate models was partitioned by partial regression using the </w:t>
      </w:r>
      <w:r w:rsidR="00A03D2E" w:rsidRPr="00581C80">
        <w:t>varpart</w:t>
      </w:r>
      <w:r w:rsidR="00A03D2E">
        <w:t xml:space="preserve"> function in R </w:t>
      </w:r>
      <w:r w:rsidR="00A03D2E" w:rsidRPr="00446367">
        <w:fldChar w:fldCharType="begin" w:fldLock="1"/>
      </w:r>
      <w:r w:rsidR="00A03D2E" w:rsidRPr="00446367">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03D2E" w:rsidRPr="00446367">
        <w:fldChar w:fldCharType="separate"/>
      </w:r>
      <w:r w:rsidR="00A03D2E" w:rsidRPr="00446367">
        <w:rPr>
          <w:noProof/>
        </w:rPr>
        <w:t>(</w:t>
      </w:r>
      <w:r w:rsidR="00A03D2E" w:rsidRPr="00581C80">
        <w:rPr>
          <w:i/>
          <w:noProof/>
        </w:rPr>
        <w:t>vegan</w:t>
      </w:r>
      <w:r w:rsidR="00A03D2E" w:rsidRPr="00446367">
        <w:rPr>
          <w:noProof/>
        </w:rPr>
        <w:t xml:space="preserve"> package, Oksanen </w:t>
      </w:r>
      <w:r w:rsidR="00A03D2E" w:rsidRPr="00446367">
        <w:rPr>
          <w:i/>
          <w:noProof/>
        </w:rPr>
        <w:t>et al.</w:t>
      </w:r>
      <w:r w:rsidR="00A03D2E" w:rsidRPr="00446367">
        <w:rPr>
          <w:noProof/>
        </w:rPr>
        <w:t xml:space="preserve"> 2013)</w:t>
      </w:r>
      <w:r w:rsidR="00A03D2E" w:rsidRPr="00446367">
        <w:fldChar w:fldCharType="end"/>
      </w:r>
      <w:r w:rsidR="001838F8" w:rsidRPr="00446367">
        <w:t xml:space="preserve">. </w:t>
      </w:r>
      <w:r w:rsidR="002B3785">
        <w:t>M</w:t>
      </w:r>
      <w:r w:rsidR="00A03D2E" w:rsidRPr="00446367">
        <w:t>ultiple regression model</w:t>
      </w:r>
      <w:r w:rsidR="001838F8" w:rsidRPr="00446367">
        <w:t>s</w:t>
      </w:r>
      <w:r w:rsidR="00A03D2E" w:rsidRPr="00446367">
        <w:t xml:space="preserve"> w</w:t>
      </w:r>
      <w:r w:rsidR="001838F8" w:rsidRPr="00446367">
        <w:t>ere</w:t>
      </w:r>
      <w:r w:rsidR="00A03D2E" w:rsidRPr="00446367">
        <w:t xml:space="preserve"> derived</w:t>
      </w:r>
      <w:r w:rsidR="00BC7BC9" w:rsidRPr="00446367">
        <w:t xml:space="preserve"> </w:t>
      </w:r>
      <w:r w:rsidR="001838F8" w:rsidRPr="00446367">
        <w:t>from</w:t>
      </w:r>
      <w:r w:rsidR="00A03D2E" w:rsidRPr="00446367">
        <w:t xml:space="preserve"> the combination</w:t>
      </w:r>
      <w:r w:rsidR="001838F8" w:rsidRPr="00446367">
        <w:t>s</w:t>
      </w:r>
      <w:r w:rsidR="00A03D2E" w:rsidRPr="00446367">
        <w:t xml:space="preserve"> of variables with the highest adjusted R</w:t>
      </w:r>
      <w:r w:rsidR="00A03D2E" w:rsidRPr="00446367">
        <w:rPr>
          <w:vertAlign w:val="superscript"/>
        </w:rPr>
        <w:t>2</w:t>
      </w:r>
      <w:r w:rsidR="00A03D2E" w:rsidRPr="00446367">
        <w:t xml:space="preserve"> value</w:t>
      </w:r>
      <w:r w:rsidR="00810EC0" w:rsidRPr="00446367">
        <w:t>s</w:t>
      </w:r>
      <w:r w:rsidR="00A03D2E" w:rsidRPr="00446367">
        <w:t xml:space="preserve"> </w:t>
      </w:r>
      <w:r w:rsidR="00A03D2E" w:rsidRPr="00446367">
        <w:fldChar w:fldCharType="begin" w:fldLock="1"/>
      </w:r>
      <w:r w:rsidR="00A03D2E" w:rsidRPr="00446367">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03D2E" w:rsidRPr="00446367">
        <w:fldChar w:fldCharType="separate"/>
      </w:r>
      <w:r w:rsidR="00A03D2E" w:rsidRPr="00446367">
        <w:rPr>
          <w:noProof/>
        </w:rPr>
        <w:t xml:space="preserve">(Peres-Neto </w:t>
      </w:r>
      <w:r w:rsidR="00A03D2E" w:rsidRPr="00446367">
        <w:rPr>
          <w:i/>
          <w:noProof/>
        </w:rPr>
        <w:t>et al.</w:t>
      </w:r>
      <w:r w:rsidR="00A03D2E" w:rsidRPr="00446367">
        <w:rPr>
          <w:noProof/>
        </w:rPr>
        <w:t xml:space="preserve"> 2006)</w:t>
      </w:r>
      <w:r w:rsidR="00A03D2E" w:rsidRPr="00446367">
        <w:fldChar w:fldCharType="end"/>
      </w:r>
      <w:r w:rsidR="00A03D2E" w:rsidRPr="00446367">
        <w:t xml:space="preserve">. </w:t>
      </w:r>
      <w:r w:rsidR="002B3785">
        <w:t>These multiple regression models optimally combine the variation explained by all significant univariate models.</w:t>
      </w:r>
    </w:p>
    <w:p w14:paraId="68F52987" w14:textId="3FC1026E" w:rsidR="00770E18" w:rsidRDefault="00B57905" w:rsidP="002C6CF2">
      <w:pPr>
        <w:pStyle w:val="ListParagraph"/>
        <w:numPr>
          <w:ilvl w:val="0"/>
          <w:numId w:val="2"/>
        </w:numPr>
        <w:spacing w:line="360" w:lineRule="auto"/>
      </w:pPr>
      <w:r>
        <w:t>The four best</w:t>
      </w:r>
      <w:r w:rsidR="00A03D2E" w:rsidRPr="00446367">
        <w:t xml:space="preserve"> multiple regression models were fed into a second variance partitioning analysis</w:t>
      </w:r>
      <w:r w:rsidR="000F75F1" w:rsidRPr="00446367">
        <w:t xml:space="preserve">, </w:t>
      </w:r>
      <w:r w:rsidR="001838F8" w:rsidRPr="00446367">
        <w:t>and adjusted R</w:t>
      </w:r>
      <w:r w:rsidR="001838F8" w:rsidRPr="00446367">
        <w:rPr>
          <w:vertAlign w:val="superscript"/>
        </w:rPr>
        <w:t>2</w:t>
      </w:r>
      <w:r w:rsidR="001838F8" w:rsidRPr="00446367">
        <w:t xml:space="preserve"> was used to estimate the proportion of variation jointly and independently explained by each environmental model.  </w:t>
      </w:r>
    </w:p>
    <w:p w14:paraId="0567C04A" w14:textId="77777777" w:rsidR="006E531C" w:rsidRDefault="006E531C">
      <w:pPr>
        <w:pStyle w:val="NormalWeb"/>
        <w:ind w:left="480" w:hanging="480"/>
        <w:divId w:val="713122544"/>
        <w:rPr>
          <w:color w:val="FF0000"/>
        </w:rPr>
      </w:pPr>
    </w:p>
    <w:p w14:paraId="20D003E1" w14:textId="08AEC28D" w:rsidR="005B4179" w:rsidRPr="005B4179" w:rsidRDefault="00966029">
      <w:pPr>
        <w:pStyle w:val="NormalWeb"/>
        <w:ind w:left="480" w:hanging="480"/>
        <w:divId w:val="580724989"/>
        <w:rPr>
          <w:rFonts w:ascii="Calibri" w:hAnsi="Calibri"/>
          <w:noProof/>
          <w:sz w:val="22"/>
        </w:rPr>
      </w:pPr>
      <w:r>
        <w:rPr>
          <w:color w:val="FF0000"/>
        </w:rPr>
        <w:fldChar w:fldCharType="begin" w:fldLock="1"/>
      </w:r>
      <w:r>
        <w:rPr>
          <w:color w:val="FF0000"/>
        </w:rPr>
        <w:instrText xml:space="preserve">ADDIN Mendeley Bibliography CSL_BIBLIOGRAPHY </w:instrText>
      </w:r>
      <w:r>
        <w:rPr>
          <w:color w:val="FF0000"/>
        </w:rPr>
        <w:fldChar w:fldCharType="separate"/>
      </w:r>
      <w:r w:rsidR="005B4179" w:rsidRPr="005B4179">
        <w:rPr>
          <w:rFonts w:ascii="Calibri" w:hAnsi="Calibri"/>
          <w:noProof/>
          <w:sz w:val="22"/>
        </w:rPr>
        <w:t xml:space="preserve">Arthington, A., Mackay, S., James, C., Rolls, R., Sternberg, D., Barnes, A. &amp; Capon, S. (2012) Ecological limits of hydrologic alteration: a test of the ELoHA framework in south-east Queensland. Waterlines Report Series No. 75. </w:t>
      </w:r>
      <w:r w:rsidR="005B4179" w:rsidRPr="005B4179">
        <w:rPr>
          <w:rFonts w:ascii="Calibri" w:hAnsi="Calibri"/>
          <w:i/>
          <w:iCs/>
          <w:noProof/>
          <w:sz w:val="22"/>
        </w:rPr>
        <w:t>National Water Commission, Canberra, Australia</w:t>
      </w:r>
      <w:r w:rsidR="005B4179" w:rsidRPr="005B4179">
        <w:rPr>
          <w:rFonts w:ascii="Calibri" w:hAnsi="Calibri"/>
          <w:noProof/>
          <w:sz w:val="22"/>
        </w:rPr>
        <w:t>.</w:t>
      </w:r>
    </w:p>
    <w:p w14:paraId="673182D0"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Barton, K. (2012) MuMIn: multi-model inference. </w:t>
      </w:r>
      <w:r w:rsidRPr="005B4179">
        <w:rPr>
          <w:rFonts w:ascii="Calibri" w:hAnsi="Calibri"/>
          <w:i/>
          <w:iCs/>
          <w:noProof/>
          <w:sz w:val="22"/>
        </w:rPr>
        <w:t>R package version</w:t>
      </w:r>
      <w:r w:rsidRPr="005B4179">
        <w:rPr>
          <w:rFonts w:ascii="Calibri" w:hAnsi="Calibri"/>
          <w:noProof/>
          <w:sz w:val="22"/>
        </w:rPr>
        <w:t xml:space="preserve">, </w:t>
      </w:r>
      <w:r w:rsidRPr="005B4179">
        <w:rPr>
          <w:rFonts w:ascii="Calibri" w:hAnsi="Calibri"/>
          <w:b/>
          <w:bCs/>
          <w:noProof/>
          <w:sz w:val="22"/>
        </w:rPr>
        <w:t>1</w:t>
      </w:r>
      <w:r w:rsidRPr="005B4179">
        <w:rPr>
          <w:rFonts w:ascii="Calibri" w:hAnsi="Calibri"/>
          <w:noProof/>
          <w:sz w:val="22"/>
        </w:rPr>
        <w:t>.</w:t>
      </w:r>
    </w:p>
    <w:p w14:paraId="7174489D"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BRS. (2002) Land Use Mapping at Catchment Scale – Principles, Procedures and Definitions.</w:t>
      </w:r>
    </w:p>
    <w:p w14:paraId="1512B430"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Burnham, K.P. &amp; Anderson, D.R. (2002) </w:t>
      </w:r>
      <w:r w:rsidRPr="005B4179">
        <w:rPr>
          <w:rFonts w:ascii="Calibri" w:hAnsi="Calibri"/>
          <w:i/>
          <w:iCs/>
          <w:noProof/>
          <w:sz w:val="22"/>
        </w:rPr>
        <w:t>Model Selection and Multimodel Inference: A Practical Information-Theoretic Approach</w:t>
      </w:r>
      <w:r w:rsidRPr="005B4179">
        <w:rPr>
          <w:rFonts w:ascii="Calibri" w:hAnsi="Calibri"/>
          <w:noProof/>
          <w:sz w:val="22"/>
        </w:rPr>
        <w:t>. Springer, New York City.</w:t>
      </w:r>
    </w:p>
    <w:p w14:paraId="09974060"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Busby, J.R. (1991) BIOCLIM-a bioclimate analysis and prediction system. </w:t>
      </w:r>
      <w:r w:rsidRPr="005B4179">
        <w:rPr>
          <w:rFonts w:ascii="Calibri" w:hAnsi="Calibri"/>
          <w:i/>
          <w:iCs/>
          <w:noProof/>
          <w:sz w:val="22"/>
        </w:rPr>
        <w:t>Plant Protection Quarterly (Australia)</w:t>
      </w:r>
      <w:r w:rsidRPr="005B4179">
        <w:rPr>
          <w:rFonts w:ascii="Calibri" w:hAnsi="Calibri"/>
          <w:noProof/>
          <w:sz w:val="22"/>
        </w:rPr>
        <w:t>.</w:t>
      </w:r>
    </w:p>
    <w:p w14:paraId="0A8D596D"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5B4179">
        <w:rPr>
          <w:rFonts w:ascii="Calibri" w:hAnsi="Calibri"/>
          <w:i/>
          <w:iCs/>
          <w:noProof/>
          <w:sz w:val="22"/>
        </w:rPr>
        <w:t>Australian Journal of Botany</w:t>
      </w:r>
      <w:r w:rsidRPr="005B4179">
        <w:rPr>
          <w:rFonts w:ascii="Calibri" w:hAnsi="Calibri"/>
          <w:noProof/>
          <w:sz w:val="22"/>
        </w:rPr>
        <w:t xml:space="preserve">, </w:t>
      </w:r>
      <w:r w:rsidRPr="005B4179">
        <w:rPr>
          <w:rFonts w:ascii="Calibri" w:hAnsi="Calibri"/>
          <w:b/>
          <w:bCs/>
          <w:noProof/>
          <w:sz w:val="22"/>
        </w:rPr>
        <w:t>51</w:t>
      </w:r>
      <w:r w:rsidRPr="005B4179">
        <w:rPr>
          <w:rFonts w:ascii="Calibri" w:hAnsi="Calibri"/>
          <w:noProof/>
          <w:sz w:val="22"/>
        </w:rPr>
        <w:t>, 335–380.</w:t>
      </w:r>
    </w:p>
    <w:p w14:paraId="6BAC6710"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lastRenderedPageBreak/>
        <w:t xml:space="preserve">Eastman, J.M., Paine, C.E.T. &amp; Hardy, O.J. (2011) spacodiR: structuring of phylogenetic diversity in ecological communities. </w:t>
      </w:r>
      <w:r w:rsidRPr="005B4179">
        <w:rPr>
          <w:rFonts w:ascii="Calibri" w:hAnsi="Calibri"/>
          <w:i/>
          <w:iCs/>
          <w:noProof/>
          <w:sz w:val="22"/>
        </w:rPr>
        <w:t>Bioinformatics</w:t>
      </w:r>
      <w:r w:rsidRPr="005B4179">
        <w:rPr>
          <w:rFonts w:ascii="Calibri" w:hAnsi="Calibri"/>
          <w:noProof/>
          <w:sz w:val="22"/>
        </w:rPr>
        <w:t xml:space="preserve">, </w:t>
      </w:r>
      <w:r w:rsidRPr="005B4179">
        <w:rPr>
          <w:rFonts w:ascii="Calibri" w:hAnsi="Calibri"/>
          <w:b/>
          <w:bCs/>
          <w:noProof/>
          <w:sz w:val="22"/>
        </w:rPr>
        <w:t>27</w:t>
      </w:r>
      <w:r w:rsidRPr="005B4179">
        <w:rPr>
          <w:rFonts w:ascii="Calibri" w:hAnsi="Calibri"/>
          <w:noProof/>
          <w:sz w:val="22"/>
        </w:rPr>
        <w:t>, 2437–2438.</w:t>
      </w:r>
    </w:p>
    <w:p w14:paraId="4FFAC10E"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Falster, D.S. (2006) Sapling strength and safety: the importance of wood density in tropical forests. </w:t>
      </w:r>
      <w:r w:rsidRPr="005B4179">
        <w:rPr>
          <w:rFonts w:ascii="Calibri" w:hAnsi="Calibri"/>
          <w:i/>
          <w:iCs/>
          <w:noProof/>
          <w:sz w:val="22"/>
        </w:rPr>
        <w:t>The New Phytologist</w:t>
      </w:r>
      <w:r w:rsidRPr="005B4179">
        <w:rPr>
          <w:rFonts w:ascii="Calibri" w:hAnsi="Calibri"/>
          <w:noProof/>
          <w:sz w:val="22"/>
        </w:rPr>
        <w:t xml:space="preserve">, </w:t>
      </w:r>
      <w:r w:rsidRPr="005B4179">
        <w:rPr>
          <w:rFonts w:ascii="Calibri" w:hAnsi="Calibri"/>
          <w:b/>
          <w:bCs/>
          <w:noProof/>
          <w:sz w:val="22"/>
        </w:rPr>
        <w:t>171</w:t>
      </w:r>
      <w:r w:rsidRPr="005B4179">
        <w:rPr>
          <w:rFonts w:ascii="Calibri" w:hAnsi="Calibri"/>
          <w:noProof/>
          <w:sz w:val="22"/>
        </w:rPr>
        <w:t>, 237–239.</w:t>
      </w:r>
    </w:p>
    <w:p w14:paraId="61CD13D2"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Gotelli, N.J. &amp; Rohde, K. (2002) Co-occurence of ectoparasites of marine fished: a null model. </w:t>
      </w:r>
      <w:r w:rsidRPr="005B4179">
        <w:rPr>
          <w:rFonts w:ascii="Calibri" w:hAnsi="Calibri"/>
          <w:i/>
          <w:iCs/>
          <w:noProof/>
          <w:sz w:val="22"/>
        </w:rPr>
        <w:t>Ecological Letters</w:t>
      </w:r>
      <w:r w:rsidRPr="005B4179">
        <w:rPr>
          <w:rFonts w:ascii="Calibri" w:hAnsi="Calibri"/>
          <w:noProof/>
          <w:sz w:val="22"/>
        </w:rPr>
        <w:t xml:space="preserve">, </w:t>
      </w:r>
      <w:r w:rsidRPr="005B4179">
        <w:rPr>
          <w:rFonts w:ascii="Calibri" w:hAnsi="Calibri"/>
          <w:b/>
          <w:bCs/>
          <w:noProof/>
          <w:sz w:val="22"/>
        </w:rPr>
        <w:t>5</w:t>
      </w:r>
      <w:r w:rsidRPr="005B4179">
        <w:rPr>
          <w:rFonts w:ascii="Calibri" w:hAnsi="Calibri"/>
          <w:noProof/>
          <w:sz w:val="22"/>
        </w:rPr>
        <w:t>, 86–94.</w:t>
      </w:r>
    </w:p>
    <w:p w14:paraId="137E420C"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6DB88945"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Kembel, S.W., Cowan, P.D., Helmus, M.R., Cornwell, W.K., Morlon, H., Ackerly, D.D., Blomberg, S.P. &amp; Webb, C.O. (2010) Picante: R tools for integrating phylogenies and ecology. </w:t>
      </w:r>
      <w:r w:rsidRPr="005B4179">
        <w:rPr>
          <w:rFonts w:ascii="Calibri" w:hAnsi="Calibri"/>
          <w:i/>
          <w:iCs/>
          <w:noProof/>
          <w:sz w:val="22"/>
        </w:rPr>
        <w:t>Bioinformatics</w:t>
      </w:r>
      <w:r w:rsidRPr="005B4179">
        <w:rPr>
          <w:rFonts w:ascii="Calibri" w:hAnsi="Calibri"/>
          <w:noProof/>
          <w:sz w:val="22"/>
        </w:rPr>
        <w:t xml:space="preserve">, </w:t>
      </w:r>
      <w:r w:rsidRPr="005B4179">
        <w:rPr>
          <w:rFonts w:ascii="Calibri" w:hAnsi="Calibri"/>
          <w:b/>
          <w:bCs/>
          <w:noProof/>
          <w:sz w:val="22"/>
        </w:rPr>
        <w:t>26</w:t>
      </w:r>
      <w:r w:rsidRPr="005B4179">
        <w:rPr>
          <w:rFonts w:ascii="Calibri" w:hAnsi="Calibri"/>
          <w:noProof/>
          <w:sz w:val="22"/>
        </w:rPr>
        <w:t>, 1463–1464.</w:t>
      </w:r>
    </w:p>
    <w:p w14:paraId="5B76FDC6"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Laliberté, E. &amp; Legendre, P. (2010) A distance-based framework for measuring functional diversity from multiple traits. </w:t>
      </w:r>
      <w:r w:rsidRPr="005B4179">
        <w:rPr>
          <w:rFonts w:ascii="Calibri" w:hAnsi="Calibri"/>
          <w:i/>
          <w:iCs/>
          <w:noProof/>
          <w:sz w:val="22"/>
        </w:rPr>
        <w:t>Ecology</w:t>
      </w:r>
      <w:r w:rsidRPr="005B4179">
        <w:rPr>
          <w:rFonts w:ascii="Calibri" w:hAnsi="Calibri"/>
          <w:noProof/>
          <w:sz w:val="22"/>
        </w:rPr>
        <w:t xml:space="preserve">, </w:t>
      </w:r>
      <w:r w:rsidRPr="005B4179">
        <w:rPr>
          <w:rFonts w:ascii="Calibri" w:hAnsi="Calibri"/>
          <w:b/>
          <w:bCs/>
          <w:noProof/>
          <w:sz w:val="22"/>
        </w:rPr>
        <w:t>91</w:t>
      </w:r>
      <w:r w:rsidRPr="005B4179">
        <w:rPr>
          <w:rFonts w:ascii="Calibri" w:hAnsi="Calibri"/>
          <w:noProof/>
          <w:sz w:val="22"/>
        </w:rPr>
        <w:t>, 299–305.</w:t>
      </w:r>
    </w:p>
    <w:p w14:paraId="7EF2695F"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Legendre, P. (2007) Studying beta diversity: ecological variation partitioning by multiple regression and canonical analysis. </w:t>
      </w:r>
      <w:r w:rsidRPr="005B4179">
        <w:rPr>
          <w:rFonts w:ascii="Calibri" w:hAnsi="Calibri"/>
          <w:i/>
          <w:iCs/>
          <w:noProof/>
          <w:sz w:val="22"/>
        </w:rPr>
        <w:t>Journal of Plant Ecology</w:t>
      </w:r>
      <w:r w:rsidRPr="005B4179">
        <w:rPr>
          <w:rFonts w:ascii="Calibri" w:hAnsi="Calibri"/>
          <w:noProof/>
          <w:sz w:val="22"/>
        </w:rPr>
        <w:t xml:space="preserve">, </w:t>
      </w:r>
      <w:r w:rsidRPr="005B4179">
        <w:rPr>
          <w:rFonts w:ascii="Calibri" w:hAnsi="Calibri"/>
          <w:b/>
          <w:bCs/>
          <w:noProof/>
          <w:sz w:val="22"/>
        </w:rPr>
        <w:t>1</w:t>
      </w:r>
      <w:r w:rsidRPr="005B4179">
        <w:rPr>
          <w:rFonts w:ascii="Calibri" w:hAnsi="Calibri"/>
          <w:noProof/>
          <w:sz w:val="22"/>
        </w:rPr>
        <w:t>, 3–8.</w:t>
      </w:r>
    </w:p>
    <w:p w14:paraId="34C1568D"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Leishman, M., Wright, I., Moles, A. &amp; Westoby, M. (2000) </w:t>
      </w:r>
      <w:r w:rsidRPr="005B4179">
        <w:rPr>
          <w:rFonts w:ascii="Calibri" w:hAnsi="Calibri"/>
          <w:i/>
          <w:iCs/>
          <w:noProof/>
          <w:sz w:val="22"/>
        </w:rPr>
        <w:t>The Evolutionary Ecology of Seed Size</w:t>
      </w:r>
      <w:r w:rsidRPr="005B4179">
        <w:rPr>
          <w:rFonts w:ascii="Calibri" w:hAnsi="Calibri"/>
          <w:noProof/>
          <w:sz w:val="22"/>
        </w:rPr>
        <w:t>, 2nd ed (ed M Fenner). CAB International, Wallingford.</w:t>
      </w:r>
    </w:p>
    <w:p w14:paraId="78222E92"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Mackay, S.J., Arthington, A.H. &amp; James, C.S. (2014) Classification and comparison of natural and altered flow regimes to support an Australian trial of the Ecological Limits of Hydrologic Alteration framework. </w:t>
      </w:r>
      <w:r w:rsidRPr="005B4179">
        <w:rPr>
          <w:rFonts w:ascii="Calibri" w:hAnsi="Calibri"/>
          <w:i/>
          <w:iCs/>
          <w:noProof/>
          <w:sz w:val="22"/>
        </w:rPr>
        <w:t>Ecohydrology</w:t>
      </w:r>
      <w:r w:rsidRPr="005B4179">
        <w:rPr>
          <w:rFonts w:ascii="Calibri" w:hAnsi="Calibri"/>
          <w:noProof/>
          <w:sz w:val="22"/>
        </w:rPr>
        <w:t xml:space="preserve">, </w:t>
      </w:r>
      <w:r w:rsidRPr="005B4179">
        <w:rPr>
          <w:rFonts w:ascii="Calibri" w:hAnsi="Calibri"/>
          <w:b/>
          <w:bCs/>
          <w:noProof/>
          <w:sz w:val="22"/>
        </w:rPr>
        <w:t>1507</w:t>
      </w:r>
      <w:r w:rsidRPr="005B4179">
        <w:rPr>
          <w:rFonts w:ascii="Calibri" w:hAnsi="Calibri"/>
          <w:noProof/>
          <w:sz w:val="22"/>
        </w:rPr>
        <w:t>, 1485–1507.</w:t>
      </w:r>
    </w:p>
    <w:p w14:paraId="52617E97"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Mackensen, J., Bauhus, J. &amp; Webber, E. (2003) Decomposition rates of coarse woody debris: a review with particular emphasis on Australian tree species. </w:t>
      </w:r>
      <w:r w:rsidRPr="005B4179">
        <w:rPr>
          <w:rFonts w:ascii="Calibri" w:hAnsi="Calibri"/>
          <w:i/>
          <w:iCs/>
          <w:noProof/>
          <w:sz w:val="22"/>
        </w:rPr>
        <w:t>Australian Journal of Botany</w:t>
      </w:r>
      <w:r w:rsidRPr="005B4179">
        <w:rPr>
          <w:rFonts w:ascii="Calibri" w:hAnsi="Calibri"/>
          <w:noProof/>
          <w:sz w:val="22"/>
        </w:rPr>
        <w:t xml:space="preserve">, </w:t>
      </w:r>
      <w:r w:rsidRPr="005B4179">
        <w:rPr>
          <w:rFonts w:ascii="Calibri" w:hAnsi="Calibri"/>
          <w:b/>
          <w:bCs/>
          <w:noProof/>
          <w:sz w:val="22"/>
        </w:rPr>
        <w:t>51</w:t>
      </w:r>
      <w:r w:rsidRPr="005B4179">
        <w:rPr>
          <w:rFonts w:ascii="Calibri" w:hAnsi="Calibri"/>
          <w:noProof/>
          <w:sz w:val="22"/>
        </w:rPr>
        <w:t>, 27–37.</w:t>
      </w:r>
    </w:p>
    <w:p w14:paraId="014241E6"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Marsh, N.A., Stewardson, M.J. &amp; Kennard, M.J. (2003) River Analysis Package. Cooperative Research Centre for Catchment Hydrology, Monash University Melbourne. </w:t>
      </w:r>
      <w:r w:rsidRPr="005B4179">
        <w:rPr>
          <w:rFonts w:ascii="Calibri" w:hAnsi="Calibri"/>
          <w:i/>
          <w:iCs/>
          <w:noProof/>
          <w:sz w:val="22"/>
        </w:rPr>
        <w:t>Software Version</w:t>
      </w:r>
      <w:r w:rsidRPr="005B4179">
        <w:rPr>
          <w:rFonts w:ascii="Calibri" w:hAnsi="Calibri"/>
          <w:noProof/>
          <w:sz w:val="22"/>
        </w:rPr>
        <w:t xml:space="preserve">, </w:t>
      </w:r>
      <w:r w:rsidRPr="005B4179">
        <w:rPr>
          <w:rFonts w:ascii="Calibri" w:hAnsi="Calibri"/>
          <w:b/>
          <w:bCs/>
          <w:noProof/>
          <w:sz w:val="22"/>
        </w:rPr>
        <w:t>1</w:t>
      </w:r>
      <w:r w:rsidRPr="005B4179">
        <w:rPr>
          <w:rFonts w:ascii="Calibri" w:hAnsi="Calibri"/>
          <w:noProof/>
          <w:sz w:val="22"/>
        </w:rPr>
        <w:t>.</w:t>
      </w:r>
    </w:p>
    <w:p w14:paraId="65E6BC44"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Mason, N.W.H., de Bello, F., Mouillot, D., Pavoine, S. &amp; Dray, S. (2013) A guide for using functional diversity indices to reveal changes in assembly processes along ecological gradients (ed M Zobel). </w:t>
      </w:r>
      <w:r w:rsidRPr="005B4179">
        <w:rPr>
          <w:rFonts w:ascii="Calibri" w:hAnsi="Calibri"/>
          <w:i/>
          <w:iCs/>
          <w:noProof/>
          <w:sz w:val="22"/>
        </w:rPr>
        <w:t>Journal of Vegetation Science</w:t>
      </w:r>
      <w:r w:rsidRPr="005B4179">
        <w:rPr>
          <w:rFonts w:ascii="Calibri" w:hAnsi="Calibri"/>
          <w:noProof/>
          <w:sz w:val="22"/>
        </w:rPr>
        <w:t xml:space="preserve">, </w:t>
      </w:r>
      <w:r w:rsidRPr="005B4179">
        <w:rPr>
          <w:rFonts w:ascii="Calibri" w:hAnsi="Calibri"/>
          <w:b/>
          <w:bCs/>
          <w:noProof/>
          <w:sz w:val="22"/>
        </w:rPr>
        <w:t>24</w:t>
      </w:r>
      <w:r w:rsidRPr="005B4179">
        <w:rPr>
          <w:rFonts w:ascii="Calibri" w:hAnsi="Calibri"/>
          <w:noProof/>
          <w:sz w:val="22"/>
        </w:rPr>
        <w:t>, 794–806.</w:t>
      </w:r>
    </w:p>
    <w:p w14:paraId="5FD160E2"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Miklós, I. &amp; Podani, J. (2004) Randomization of presence-absence matrices: Comments and new algorithms. </w:t>
      </w:r>
      <w:r w:rsidRPr="005B4179">
        <w:rPr>
          <w:rFonts w:ascii="Calibri" w:hAnsi="Calibri"/>
          <w:i/>
          <w:iCs/>
          <w:noProof/>
          <w:sz w:val="22"/>
        </w:rPr>
        <w:t>Ecology</w:t>
      </w:r>
      <w:r w:rsidRPr="005B4179">
        <w:rPr>
          <w:rFonts w:ascii="Calibri" w:hAnsi="Calibri"/>
          <w:noProof/>
          <w:sz w:val="22"/>
        </w:rPr>
        <w:t xml:space="preserve">, </w:t>
      </w:r>
      <w:r w:rsidRPr="005B4179">
        <w:rPr>
          <w:rFonts w:ascii="Calibri" w:hAnsi="Calibri"/>
          <w:b/>
          <w:bCs/>
          <w:noProof/>
          <w:sz w:val="22"/>
        </w:rPr>
        <w:t>85</w:t>
      </w:r>
      <w:r w:rsidRPr="005B4179">
        <w:rPr>
          <w:rFonts w:ascii="Calibri" w:hAnsi="Calibri"/>
          <w:noProof/>
          <w:sz w:val="22"/>
        </w:rPr>
        <w:t>, 86–92.</w:t>
      </w:r>
    </w:p>
    <w:p w14:paraId="7E7E9DC8"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Oksanen, J., Blanchet, F.G., Kindt, R., Legendre, P., Minchin, P.R., O’Hara, R.B., Simpson, G.L., Solymos, P., Stevens, M.H.H. &amp; Wagner, H. (2013) vegan: Community Ecology Package.</w:t>
      </w:r>
    </w:p>
    <w:p w14:paraId="5A780022"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Penone, C., Davidson, A.D., Shoemaker, K.T., Di Marco, M., Rondinini, C., Brooks, T.M., Young, B.E., Graham, C.H. &amp; Costa, G.C. (2014) Imputation of missing data in life-history trait datasets: which approach performs the best? (ed R Freckleton). </w:t>
      </w:r>
      <w:r w:rsidRPr="005B4179">
        <w:rPr>
          <w:rFonts w:ascii="Calibri" w:hAnsi="Calibri"/>
          <w:i/>
          <w:iCs/>
          <w:noProof/>
          <w:sz w:val="22"/>
        </w:rPr>
        <w:t>Methods in Ecology and Evolution</w:t>
      </w:r>
      <w:r w:rsidRPr="005B4179">
        <w:rPr>
          <w:rFonts w:ascii="Calibri" w:hAnsi="Calibri"/>
          <w:noProof/>
          <w:sz w:val="22"/>
        </w:rPr>
        <w:t xml:space="preserve">, </w:t>
      </w:r>
      <w:r w:rsidRPr="005B4179">
        <w:rPr>
          <w:rFonts w:ascii="Calibri" w:hAnsi="Calibri"/>
          <w:b/>
          <w:bCs/>
          <w:noProof/>
          <w:sz w:val="22"/>
        </w:rPr>
        <w:t>5</w:t>
      </w:r>
      <w:r w:rsidRPr="005B4179">
        <w:rPr>
          <w:rFonts w:ascii="Calibri" w:hAnsi="Calibri"/>
          <w:noProof/>
          <w:sz w:val="22"/>
        </w:rPr>
        <w:t>, 961–970.</w:t>
      </w:r>
    </w:p>
    <w:p w14:paraId="48AA0991"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lastRenderedPageBreak/>
        <w:t xml:space="preserve">Peres-Neto, P.R., Legendre, P., Dray, S. &amp; Borcard, D. (2006) Variation Partitioning of Species Data Matrices: Estimation and Comparison of Fractions. </w:t>
      </w:r>
      <w:r w:rsidRPr="005B4179">
        <w:rPr>
          <w:rFonts w:ascii="Calibri" w:hAnsi="Calibri"/>
          <w:i/>
          <w:iCs/>
          <w:noProof/>
          <w:sz w:val="22"/>
        </w:rPr>
        <w:t>Ecology</w:t>
      </w:r>
      <w:r w:rsidRPr="005B4179">
        <w:rPr>
          <w:rFonts w:ascii="Calibri" w:hAnsi="Calibri"/>
          <w:noProof/>
          <w:sz w:val="22"/>
        </w:rPr>
        <w:t xml:space="preserve">, </w:t>
      </w:r>
      <w:r w:rsidRPr="005B4179">
        <w:rPr>
          <w:rFonts w:ascii="Calibri" w:hAnsi="Calibri"/>
          <w:b/>
          <w:bCs/>
          <w:noProof/>
          <w:sz w:val="22"/>
        </w:rPr>
        <w:t>87</w:t>
      </w:r>
      <w:r w:rsidRPr="005B4179">
        <w:rPr>
          <w:rFonts w:ascii="Calibri" w:hAnsi="Calibri"/>
          <w:noProof/>
          <w:sz w:val="22"/>
        </w:rPr>
        <w:t>, 2614–2625.</w:t>
      </w:r>
    </w:p>
    <w:p w14:paraId="3E3DEB20"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Poff, N.L., Richter, B.D., Arthington, A.H., Bunn, S.E., Naiman, R.J., Kendy, E., Acreman, M., Apse, C., Bledsoe, B.P., Freeman, M.C., Henriksen, J., Jacobson, R.B., Kennen, J.G., Merritt, D.M., O’</w:t>
      </w:r>
      <w:r w:rsidRPr="005B4179">
        <w:rPr>
          <w:rFonts w:ascii="Calibri" w:hAnsi="Calibri" w:cs="Calibri"/>
          <w:noProof/>
          <w:sz w:val="22"/>
        </w:rPr>
        <w:t></w:t>
      </w:r>
      <w:r w:rsidRPr="005B4179">
        <w:rPr>
          <w:rFonts w:ascii="Calibri" w:hAnsi="Calibri"/>
          <w:noProof/>
          <w:sz w:val="22"/>
        </w:rPr>
        <w:t xml:space="preserve">Keeffe, J.H., Olden, J.D., Rogers, K., Tharme, R.E. &amp; Warner, A. (2010) The ecological limits of hydrologic alteration (ELOHA): a new framework for developing regional environmental flow standards. </w:t>
      </w:r>
      <w:r w:rsidRPr="005B4179">
        <w:rPr>
          <w:rFonts w:ascii="Calibri" w:hAnsi="Calibri"/>
          <w:i/>
          <w:iCs/>
          <w:noProof/>
          <w:sz w:val="22"/>
        </w:rPr>
        <w:t>Freshwater Biology</w:t>
      </w:r>
      <w:r w:rsidRPr="005B4179">
        <w:rPr>
          <w:rFonts w:ascii="Calibri" w:hAnsi="Calibri"/>
          <w:noProof/>
          <w:sz w:val="22"/>
        </w:rPr>
        <w:t xml:space="preserve">, </w:t>
      </w:r>
      <w:r w:rsidRPr="005B4179">
        <w:rPr>
          <w:rFonts w:ascii="Calibri" w:hAnsi="Calibri"/>
          <w:b/>
          <w:bCs/>
          <w:noProof/>
          <w:sz w:val="22"/>
        </w:rPr>
        <w:t>55</w:t>
      </w:r>
      <w:r w:rsidRPr="005B4179">
        <w:rPr>
          <w:rFonts w:ascii="Calibri" w:hAnsi="Calibri"/>
          <w:noProof/>
          <w:sz w:val="22"/>
        </w:rPr>
        <w:t>, 147–170.</w:t>
      </w:r>
    </w:p>
    <w:p w14:paraId="6871F03B"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Preston, K.A., Cornwell, W.K. &amp; Denoyer, J.L. (2006) Wood density and vessel traits as distinct correlates of ecological strategy in 51 California coast range angiosperms. </w:t>
      </w:r>
      <w:r w:rsidRPr="005B4179">
        <w:rPr>
          <w:rFonts w:ascii="Calibri" w:hAnsi="Calibri"/>
          <w:i/>
          <w:iCs/>
          <w:noProof/>
          <w:sz w:val="22"/>
        </w:rPr>
        <w:t>The New Phytologist</w:t>
      </w:r>
      <w:r w:rsidRPr="005B4179">
        <w:rPr>
          <w:rFonts w:ascii="Calibri" w:hAnsi="Calibri"/>
          <w:noProof/>
          <w:sz w:val="22"/>
        </w:rPr>
        <w:t xml:space="preserve">, </w:t>
      </w:r>
      <w:r w:rsidRPr="005B4179">
        <w:rPr>
          <w:rFonts w:ascii="Calibri" w:hAnsi="Calibri"/>
          <w:b/>
          <w:bCs/>
          <w:noProof/>
          <w:sz w:val="22"/>
        </w:rPr>
        <w:t>170</w:t>
      </w:r>
      <w:r w:rsidRPr="005B4179">
        <w:rPr>
          <w:rFonts w:ascii="Calibri" w:hAnsi="Calibri"/>
          <w:noProof/>
          <w:sz w:val="22"/>
        </w:rPr>
        <w:t>, 807–818.</w:t>
      </w:r>
    </w:p>
    <w:p w14:paraId="7619FDD1"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 Core Team. (2013) R: A Language and Environment for Statistical Computing.</w:t>
      </w:r>
    </w:p>
    <w:p w14:paraId="5E2B3AD4"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(2014a) Soil and Landscape Grid National Soil Attribute Maps - Bulk Density - Whole Earth (3" resolution) - Release 1. v4. CSIRO. Data Collection. 10.4225/08/546EE212B0048.</w:t>
      </w:r>
    </w:p>
    <w:p w14:paraId="3B7CB341"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(2014b) Soil and Landscape Grid National Soil Attribute Maps - Organic Carbon (3" resolution) - Release 1. v1. CSIRO. Data Collection. 10.4225/08/547523BB0801A.</w:t>
      </w:r>
    </w:p>
    <w:p w14:paraId="39F58F18"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(2014k) Soil and Landscape Grid National Soil Attribute Maps - Sand (3" resolution) - Release 1. v4. CSIRO. Data Collection. 10.4225/08/546F29646877E</w:t>
      </w:r>
    </w:p>
    <w:p w14:paraId="1C7F5454"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(2014c) Soil and Landscape Grid National Soil Attribute Maps - Soil Depth (3" resolution) - Release 1. v2. CSIRO. Data Collection. 10.4225/08/546F540FE10AA.</w:t>
      </w:r>
    </w:p>
    <w:p w14:paraId="5BD2CE5D"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(2014d) Soil and Landscape Grid National Soil Attribute Maps - pH - CaCl2 (3" resolution) - Release 1. v2. CSIRO. Data Collection. 10.4225/08/546F17EC6AB6E.</w:t>
      </w:r>
    </w:p>
    <w:p w14:paraId="4143BA4D"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(2014e) Soil and Landscape Grid National Soil Attribute Maps - Effective Cation Exchange Capacity (3" resolution) - Release 1. v3. CSIRO. Data Collection. 10.4225/08/546F091C11777.</w:t>
      </w:r>
    </w:p>
    <w:p w14:paraId="5E4EE0C1"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(2014f) Soil and Landscape Grid National Soil Attribute Maps - Available Water Capacity (3" resolution) - Release 1. v3. CSIRO. Data Collection. 10.4225/08/546ED604ADD8A.</w:t>
      </w:r>
    </w:p>
    <w:p w14:paraId="13114294"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(2014g) Soil and Landscape Grid National Soil Attribute Maps - Total Phosphorus (3" resolution) - Release 1. v4. CSIRO. Data Collection. 10.4225/08/546F617719CAF.</w:t>
      </w:r>
    </w:p>
    <w:p w14:paraId="1833E1EA"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(2014h) Soil and Landscape Grid National Soil Attribute Maps - Total Nitrogen (3" resolution) - Release 1. v4. CSIRO. Data Collection. 10.4225/08/546F564AE11F9.</w:t>
      </w:r>
    </w:p>
    <w:p w14:paraId="196E7FB0"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lastRenderedPageBreak/>
        <w:t>Rossel, R.V., Chen, C., Grundy, M., Searle, R., Clifford, D. &amp; Odgers, N. (2014i) Soil and Landscape Grid National Soil Attribute Maps - Silt (3" resolution) - Release 1. v4. CSIRO. Data Collection. 10.4225/08/546F48D6A6D48.</w:t>
      </w:r>
    </w:p>
    <w:p w14:paraId="3F2546D3"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Rossel, R.V., Chen, C., Grundy, M., Searle, R., Clifford, D. &amp; Odgers, N. (2014j) Soil and Landscape Grid National Soil Attribute Maps - Clay (3" resolution) - Release 1. v4. CSIRO. Data Collection. 10.4225/08/546EEE35164BF.</w:t>
      </w:r>
    </w:p>
    <w:p w14:paraId="141AD5DC"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Simons, M., Podger, G. &amp; Cooke, R. (1996) IQQM: a hydrologic modelling tool for water resource and salinity management. </w:t>
      </w:r>
      <w:r w:rsidRPr="005B4179">
        <w:rPr>
          <w:rFonts w:ascii="Calibri" w:hAnsi="Calibri"/>
          <w:i/>
          <w:iCs/>
          <w:noProof/>
          <w:sz w:val="22"/>
        </w:rPr>
        <w:t>Environmental Software</w:t>
      </w:r>
      <w:r w:rsidRPr="005B4179">
        <w:rPr>
          <w:rFonts w:ascii="Calibri" w:hAnsi="Calibri"/>
          <w:noProof/>
          <w:sz w:val="22"/>
        </w:rPr>
        <w:t xml:space="preserve">, </w:t>
      </w:r>
      <w:r w:rsidRPr="005B4179">
        <w:rPr>
          <w:rFonts w:ascii="Calibri" w:hAnsi="Calibri"/>
          <w:b/>
          <w:bCs/>
          <w:noProof/>
          <w:sz w:val="22"/>
        </w:rPr>
        <w:t>11</w:t>
      </w:r>
      <w:r w:rsidRPr="005B4179">
        <w:rPr>
          <w:rFonts w:ascii="Calibri" w:hAnsi="Calibri"/>
          <w:noProof/>
          <w:sz w:val="22"/>
        </w:rPr>
        <w:t>, 185–192.</w:t>
      </w:r>
    </w:p>
    <w:p w14:paraId="648B1E27"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Stekhoven, D.J. &amp; Buhlmann, P. (2012) MissForest - nonparametric missing value imputation for mixed-type data. </w:t>
      </w:r>
      <w:r w:rsidRPr="005B4179">
        <w:rPr>
          <w:rFonts w:ascii="Calibri" w:hAnsi="Calibri"/>
          <w:i/>
          <w:iCs/>
          <w:noProof/>
          <w:sz w:val="22"/>
        </w:rPr>
        <w:t>Bioinformatics</w:t>
      </w:r>
      <w:r w:rsidRPr="005B4179">
        <w:rPr>
          <w:rFonts w:ascii="Calibri" w:hAnsi="Calibri"/>
          <w:noProof/>
          <w:sz w:val="22"/>
        </w:rPr>
        <w:t xml:space="preserve">, </w:t>
      </w:r>
      <w:r w:rsidRPr="005B4179">
        <w:rPr>
          <w:rFonts w:ascii="Calibri" w:hAnsi="Calibri"/>
          <w:b/>
          <w:bCs/>
          <w:noProof/>
          <w:sz w:val="22"/>
        </w:rPr>
        <w:t>28</w:t>
      </w:r>
      <w:r w:rsidRPr="005B4179">
        <w:rPr>
          <w:rFonts w:ascii="Calibri" w:hAnsi="Calibri"/>
          <w:noProof/>
          <w:sz w:val="22"/>
        </w:rPr>
        <w:t>, 112–118.</w:t>
      </w:r>
    </w:p>
    <w:p w14:paraId="4810B813"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Telewski, F.W. (1995) Wind-induced physiological and developmental responses in trees. </w:t>
      </w:r>
      <w:r w:rsidRPr="005B4179">
        <w:rPr>
          <w:rFonts w:ascii="Calibri" w:hAnsi="Calibri"/>
          <w:i/>
          <w:iCs/>
          <w:noProof/>
          <w:sz w:val="22"/>
        </w:rPr>
        <w:t>Wind and trees</w:t>
      </w:r>
      <w:r w:rsidRPr="005B4179">
        <w:rPr>
          <w:rFonts w:ascii="Calibri" w:hAnsi="Calibri"/>
          <w:noProof/>
          <w:sz w:val="22"/>
        </w:rPr>
        <w:t xml:space="preserve">, </w:t>
      </w:r>
      <w:r w:rsidRPr="005B4179">
        <w:rPr>
          <w:rFonts w:ascii="Calibri" w:hAnsi="Calibri"/>
          <w:b/>
          <w:bCs/>
          <w:noProof/>
          <w:sz w:val="22"/>
        </w:rPr>
        <w:t>237</w:t>
      </w:r>
      <w:r w:rsidRPr="005B4179">
        <w:rPr>
          <w:rFonts w:ascii="Calibri" w:hAnsi="Calibri"/>
          <w:noProof/>
          <w:sz w:val="22"/>
        </w:rPr>
        <w:t>, 263.</w:t>
      </w:r>
    </w:p>
    <w:p w14:paraId="44729F0C"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Villéger, S., Mason, N.W.H. &amp; Mouillot, D. (2008) New multidimensional functional diversity indices for a multifaceted framework in functional ecology. </w:t>
      </w:r>
      <w:r w:rsidRPr="005B4179">
        <w:rPr>
          <w:rFonts w:ascii="Calibri" w:hAnsi="Calibri"/>
          <w:i/>
          <w:iCs/>
          <w:noProof/>
          <w:sz w:val="22"/>
        </w:rPr>
        <w:t>Ecology</w:t>
      </w:r>
      <w:r w:rsidRPr="005B4179">
        <w:rPr>
          <w:rFonts w:ascii="Calibri" w:hAnsi="Calibri"/>
          <w:noProof/>
          <w:sz w:val="22"/>
        </w:rPr>
        <w:t xml:space="preserve">, </w:t>
      </w:r>
      <w:r w:rsidRPr="005B4179">
        <w:rPr>
          <w:rFonts w:ascii="Calibri" w:hAnsi="Calibri"/>
          <w:b/>
          <w:bCs/>
          <w:noProof/>
          <w:sz w:val="22"/>
        </w:rPr>
        <w:t>89</w:t>
      </w:r>
      <w:r w:rsidRPr="005B4179">
        <w:rPr>
          <w:rFonts w:ascii="Calibri" w:hAnsi="Calibri"/>
          <w:noProof/>
          <w:sz w:val="22"/>
        </w:rPr>
        <w:t>, 2290–301.</w:t>
      </w:r>
    </w:p>
    <w:p w14:paraId="7C4C69A5"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Westoby, M. &amp; Wright, I.J. (2006) Land-plant ecology on the basis of functional traits. </w:t>
      </w:r>
      <w:r w:rsidRPr="005B4179">
        <w:rPr>
          <w:rFonts w:ascii="Calibri" w:hAnsi="Calibri"/>
          <w:i/>
          <w:iCs/>
          <w:noProof/>
          <w:sz w:val="22"/>
        </w:rPr>
        <w:t>Trends in Ecology &amp; Evolution</w:t>
      </w:r>
      <w:r w:rsidRPr="005B4179">
        <w:rPr>
          <w:rFonts w:ascii="Calibri" w:hAnsi="Calibri"/>
          <w:noProof/>
          <w:sz w:val="22"/>
        </w:rPr>
        <w:t xml:space="preserve">, </w:t>
      </w:r>
      <w:r w:rsidRPr="005B4179">
        <w:rPr>
          <w:rFonts w:ascii="Calibri" w:hAnsi="Calibri"/>
          <w:b/>
          <w:bCs/>
          <w:noProof/>
          <w:sz w:val="22"/>
        </w:rPr>
        <w:t>21</w:t>
      </w:r>
      <w:r w:rsidRPr="005B4179">
        <w:rPr>
          <w:rFonts w:ascii="Calibri" w:hAnsi="Calibri"/>
          <w:noProof/>
          <w:sz w:val="22"/>
        </w:rPr>
        <w:t>, 261–8.</w:t>
      </w:r>
    </w:p>
    <w:p w14:paraId="1A7DDA6D"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Wilford, J., Searle, R., Thomas, M. &amp; Grundy, M. (2014) Soil and Landscape Grid National Soil Attribute Maps - Depth of Regolith (3" resolution) - Release 1. v3. CSIRO. Data Collection. 10.4225/08/546F06DFDFAC1.</w:t>
      </w:r>
    </w:p>
    <w:p w14:paraId="69314842"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Witte, C., den Berg, D., Rowland, T., O’Donnell, T., Denham, R., Pitt, G. &amp; Simpson, J. (2006) Mapping Land Use in Queensland--Technical Report on the 1999 Land Use Map for Queensland. </w:t>
      </w:r>
      <w:r w:rsidRPr="005B4179">
        <w:rPr>
          <w:rFonts w:ascii="Calibri" w:hAnsi="Calibri"/>
          <w:i/>
          <w:iCs/>
          <w:noProof/>
          <w:sz w:val="22"/>
        </w:rPr>
        <w:t>Department of Natural Resources, Mines and Water, Brisbane</w:t>
      </w:r>
      <w:r w:rsidRPr="005B4179">
        <w:rPr>
          <w:rFonts w:ascii="Calibri" w:hAnsi="Calibri"/>
          <w:noProof/>
          <w:sz w:val="22"/>
        </w:rPr>
        <w:t>.</w:t>
      </w:r>
    </w:p>
    <w:p w14:paraId="22AE02D1" w14:textId="77777777" w:rsidR="005B4179" w:rsidRPr="005B4179" w:rsidRDefault="005B4179">
      <w:pPr>
        <w:pStyle w:val="NormalWeb"/>
        <w:ind w:left="480" w:hanging="480"/>
        <w:divId w:val="580724989"/>
        <w:rPr>
          <w:rFonts w:ascii="Calibri" w:hAnsi="Calibri"/>
          <w:noProof/>
          <w:sz w:val="22"/>
        </w:rPr>
      </w:pPr>
      <w:r w:rsidRPr="005B4179">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5B4179">
        <w:rPr>
          <w:rFonts w:ascii="Calibri" w:hAnsi="Calibri"/>
          <w:i/>
          <w:iCs/>
          <w:noProof/>
          <w:sz w:val="22"/>
        </w:rPr>
        <w:t>Nature</w:t>
      </w:r>
      <w:r w:rsidRPr="005B4179">
        <w:rPr>
          <w:rFonts w:ascii="Calibri" w:hAnsi="Calibri"/>
          <w:noProof/>
          <w:sz w:val="22"/>
        </w:rPr>
        <w:t xml:space="preserve">, </w:t>
      </w:r>
      <w:r w:rsidRPr="005B4179">
        <w:rPr>
          <w:rFonts w:ascii="Calibri" w:hAnsi="Calibri"/>
          <w:b/>
          <w:bCs/>
          <w:noProof/>
          <w:sz w:val="22"/>
        </w:rPr>
        <w:t>428</w:t>
      </w:r>
      <w:r w:rsidRPr="005B4179">
        <w:rPr>
          <w:rFonts w:ascii="Calibri" w:hAnsi="Calibri"/>
          <w:noProof/>
          <w:sz w:val="22"/>
        </w:rPr>
        <w:t>, 821–827.</w:t>
      </w:r>
    </w:p>
    <w:p w14:paraId="3146797B" w14:textId="1E8295A3" w:rsidR="002C21A0" w:rsidRPr="00E200A5" w:rsidRDefault="00966029" w:rsidP="00966029">
      <w:pPr>
        <w:spacing w:line="360" w:lineRule="auto"/>
        <w:rPr>
          <w:color w:val="FF0000"/>
        </w:rPr>
      </w:pPr>
      <w:r>
        <w:rPr>
          <w:color w:val="FF0000"/>
        </w:rPr>
        <w:fldChar w:fldCharType="end"/>
      </w:r>
    </w:p>
    <w:sectPr w:rsidR="002C21A0" w:rsidRPr="00E200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1T12:01:00Z" w:initials="FoS">
    <w:p w14:paraId="68826BF1" w14:textId="213D2AEB" w:rsidR="00432B4A" w:rsidRDefault="00432B4A">
      <w:pPr>
        <w:pStyle w:val="CommentText"/>
      </w:pPr>
      <w:r>
        <w:rPr>
          <w:rStyle w:val="CommentReference"/>
        </w:rPr>
        <w:annotationRef/>
      </w:r>
      <w:r w:rsidR="00C05647">
        <w:t>Will add a data bibliography too</w:t>
      </w:r>
    </w:p>
  </w:comment>
  <w:comment w:id="2" w:author="Faculty of Science" w:date="2015-07-31T13:38:00Z" w:initials="FoS">
    <w:p w14:paraId="0F43FF51" w14:textId="1941DCF4" w:rsidR="00674FD5" w:rsidRDefault="00674FD5">
      <w:pPr>
        <w:pStyle w:val="CommentText"/>
      </w:pPr>
      <w:r>
        <w:rPr>
          <w:rStyle w:val="CommentReference"/>
        </w:rPr>
        <w:annotationRef/>
      </w:r>
      <w:r>
        <w:t>Relationships between sprich, FRic.SES, FDis.SES, exotics?</w:t>
      </w:r>
    </w:p>
  </w:comment>
  <w:comment w:id="3" w:author="Faculty of Science" w:date="2015-08-01T12:38:00Z" w:initials="FoS">
    <w:p w14:paraId="3053D040" w14:textId="327D672D" w:rsidR="00DF7311" w:rsidRDefault="00DF7311">
      <w:pPr>
        <w:pStyle w:val="CommentText"/>
      </w:pPr>
      <w:r>
        <w:rPr>
          <w:rStyle w:val="CommentReference"/>
        </w:rPr>
        <w:annotationRef/>
      </w:r>
      <w:r>
        <w:t>How many total spp and how many exotics were present? Maybe this should go further up?</w:t>
      </w:r>
    </w:p>
  </w:comment>
  <w:comment w:id="4" w:author="Faculty of Science" w:date="2015-06-26T12:47:00Z" w:initials="FoS">
    <w:p w14:paraId="37F42D99" w14:textId="152BDF32" w:rsidR="00326571" w:rsidRDefault="00326571">
      <w:pPr>
        <w:pStyle w:val="CommentText"/>
      </w:pPr>
      <w:r>
        <w:rPr>
          <w:rStyle w:val="CommentReference"/>
        </w:rPr>
        <w:annotationRef/>
      </w:r>
      <w:r>
        <w:t>Be consistent – hydrology vs flow regime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826BF1" w15:done="0"/>
  <w15:commentEx w15:paraId="0F43FF51" w15:done="0"/>
  <w15:commentEx w15:paraId="3053D040" w15:done="0"/>
  <w15:commentEx w15:paraId="37F42D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 w15:restartNumberingAfterBreak="0">
    <w:nsid w:val="6D216225"/>
    <w:multiLevelType w:val="hybridMultilevel"/>
    <w:tmpl w:val="F2E860BC"/>
    <w:lvl w:ilvl="0" w:tplc="845E6FA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00"/>
    <w:rsid w:val="00006180"/>
    <w:rsid w:val="00027187"/>
    <w:rsid w:val="0007200B"/>
    <w:rsid w:val="000920D8"/>
    <w:rsid w:val="000A5AEF"/>
    <w:rsid w:val="000C0AF0"/>
    <w:rsid w:val="000C54E2"/>
    <w:rsid w:val="000F75F1"/>
    <w:rsid w:val="0012782E"/>
    <w:rsid w:val="001443E7"/>
    <w:rsid w:val="0015530F"/>
    <w:rsid w:val="0015643B"/>
    <w:rsid w:val="00157342"/>
    <w:rsid w:val="00160298"/>
    <w:rsid w:val="001838F8"/>
    <w:rsid w:val="001A6FFC"/>
    <w:rsid w:val="001E144B"/>
    <w:rsid w:val="002B1EFA"/>
    <w:rsid w:val="002B3785"/>
    <w:rsid w:val="002C21A0"/>
    <w:rsid w:val="002C6CF2"/>
    <w:rsid w:val="002E0A73"/>
    <w:rsid w:val="002F5BB7"/>
    <w:rsid w:val="0031081F"/>
    <w:rsid w:val="00326571"/>
    <w:rsid w:val="00342A01"/>
    <w:rsid w:val="00367203"/>
    <w:rsid w:val="003B0EB7"/>
    <w:rsid w:val="003D3261"/>
    <w:rsid w:val="003E68F1"/>
    <w:rsid w:val="003F3825"/>
    <w:rsid w:val="00432B4A"/>
    <w:rsid w:val="004452CB"/>
    <w:rsid w:val="00446367"/>
    <w:rsid w:val="00446D8B"/>
    <w:rsid w:val="00450B81"/>
    <w:rsid w:val="00453CE4"/>
    <w:rsid w:val="00460526"/>
    <w:rsid w:val="0046052C"/>
    <w:rsid w:val="00461580"/>
    <w:rsid w:val="00465065"/>
    <w:rsid w:val="00476EDC"/>
    <w:rsid w:val="00480523"/>
    <w:rsid w:val="004E6F3D"/>
    <w:rsid w:val="004F1E0A"/>
    <w:rsid w:val="005259FC"/>
    <w:rsid w:val="00542698"/>
    <w:rsid w:val="00546EE3"/>
    <w:rsid w:val="00581222"/>
    <w:rsid w:val="00581C80"/>
    <w:rsid w:val="00592ADE"/>
    <w:rsid w:val="005A48A2"/>
    <w:rsid w:val="005B4179"/>
    <w:rsid w:val="005C7A77"/>
    <w:rsid w:val="005F6DAF"/>
    <w:rsid w:val="006261D8"/>
    <w:rsid w:val="006373B2"/>
    <w:rsid w:val="00662F0C"/>
    <w:rsid w:val="00674FD5"/>
    <w:rsid w:val="00684B42"/>
    <w:rsid w:val="00686137"/>
    <w:rsid w:val="00695D01"/>
    <w:rsid w:val="006D64BF"/>
    <w:rsid w:val="006E531C"/>
    <w:rsid w:val="00712310"/>
    <w:rsid w:val="00750709"/>
    <w:rsid w:val="00770E18"/>
    <w:rsid w:val="00773E78"/>
    <w:rsid w:val="007D63D2"/>
    <w:rsid w:val="007E3BFC"/>
    <w:rsid w:val="007F4151"/>
    <w:rsid w:val="00802D0E"/>
    <w:rsid w:val="00810EC0"/>
    <w:rsid w:val="0081574E"/>
    <w:rsid w:val="00817305"/>
    <w:rsid w:val="00821E38"/>
    <w:rsid w:val="008234B3"/>
    <w:rsid w:val="008371A0"/>
    <w:rsid w:val="00890C8D"/>
    <w:rsid w:val="008F5E71"/>
    <w:rsid w:val="0096340B"/>
    <w:rsid w:val="00966029"/>
    <w:rsid w:val="0098358C"/>
    <w:rsid w:val="00985A6F"/>
    <w:rsid w:val="00992C04"/>
    <w:rsid w:val="00995F09"/>
    <w:rsid w:val="009A3C1F"/>
    <w:rsid w:val="009A57AA"/>
    <w:rsid w:val="009A5F3F"/>
    <w:rsid w:val="009A7D63"/>
    <w:rsid w:val="00A03D2E"/>
    <w:rsid w:val="00A46258"/>
    <w:rsid w:val="00A71A77"/>
    <w:rsid w:val="00A87024"/>
    <w:rsid w:val="00A93F22"/>
    <w:rsid w:val="00AB691B"/>
    <w:rsid w:val="00AC6149"/>
    <w:rsid w:val="00AD04A5"/>
    <w:rsid w:val="00AD1D66"/>
    <w:rsid w:val="00AE3044"/>
    <w:rsid w:val="00AF07DD"/>
    <w:rsid w:val="00B12E1D"/>
    <w:rsid w:val="00B24E53"/>
    <w:rsid w:val="00B33BD8"/>
    <w:rsid w:val="00B3438A"/>
    <w:rsid w:val="00B546DB"/>
    <w:rsid w:val="00B57905"/>
    <w:rsid w:val="00B74F11"/>
    <w:rsid w:val="00B952FB"/>
    <w:rsid w:val="00BB2D19"/>
    <w:rsid w:val="00BC7BC9"/>
    <w:rsid w:val="00BE079E"/>
    <w:rsid w:val="00C05647"/>
    <w:rsid w:val="00C434EE"/>
    <w:rsid w:val="00C43D92"/>
    <w:rsid w:val="00C6103F"/>
    <w:rsid w:val="00C72946"/>
    <w:rsid w:val="00C73E16"/>
    <w:rsid w:val="00C9297C"/>
    <w:rsid w:val="00CA111D"/>
    <w:rsid w:val="00CA65EA"/>
    <w:rsid w:val="00CC70E2"/>
    <w:rsid w:val="00CD016A"/>
    <w:rsid w:val="00D030FD"/>
    <w:rsid w:val="00D75BE5"/>
    <w:rsid w:val="00D804BB"/>
    <w:rsid w:val="00DB15D2"/>
    <w:rsid w:val="00DB28A0"/>
    <w:rsid w:val="00DC7F43"/>
    <w:rsid w:val="00DF0A53"/>
    <w:rsid w:val="00DF7311"/>
    <w:rsid w:val="00E200A5"/>
    <w:rsid w:val="00E339CD"/>
    <w:rsid w:val="00E46E7C"/>
    <w:rsid w:val="00EA57AB"/>
    <w:rsid w:val="00EC1945"/>
    <w:rsid w:val="00EC6F16"/>
    <w:rsid w:val="00EF0093"/>
    <w:rsid w:val="00F1058C"/>
    <w:rsid w:val="00F20A65"/>
    <w:rsid w:val="00F5226D"/>
    <w:rsid w:val="00F528B5"/>
    <w:rsid w:val="00F571BD"/>
    <w:rsid w:val="00F900DF"/>
    <w:rsid w:val="00FA41C9"/>
    <w:rsid w:val="00FA6910"/>
    <w:rsid w:val="00FE05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9CA9"/>
  <w15:chartTrackingRefBased/>
  <w15:docId w15:val="{51352CF4-A372-40BB-A39F-0E3C50E6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1A0"/>
    <w:rPr>
      <w:sz w:val="16"/>
      <w:szCs w:val="16"/>
    </w:rPr>
  </w:style>
  <w:style w:type="paragraph" w:styleId="CommentText">
    <w:name w:val="annotation text"/>
    <w:basedOn w:val="Normal"/>
    <w:link w:val="CommentTextChar"/>
    <w:uiPriority w:val="99"/>
    <w:semiHidden/>
    <w:unhideWhenUsed/>
    <w:rsid w:val="002C21A0"/>
    <w:pPr>
      <w:spacing w:line="240" w:lineRule="auto"/>
    </w:pPr>
    <w:rPr>
      <w:sz w:val="20"/>
      <w:szCs w:val="20"/>
    </w:rPr>
  </w:style>
  <w:style w:type="character" w:customStyle="1" w:styleId="CommentTextChar">
    <w:name w:val="Comment Text Char"/>
    <w:basedOn w:val="DefaultParagraphFont"/>
    <w:link w:val="CommentText"/>
    <w:uiPriority w:val="99"/>
    <w:semiHidden/>
    <w:rsid w:val="002C21A0"/>
    <w:rPr>
      <w:sz w:val="20"/>
      <w:szCs w:val="20"/>
    </w:rPr>
  </w:style>
  <w:style w:type="paragraph" w:styleId="CommentSubject">
    <w:name w:val="annotation subject"/>
    <w:basedOn w:val="CommentText"/>
    <w:next w:val="CommentText"/>
    <w:link w:val="CommentSubjectChar"/>
    <w:uiPriority w:val="99"/>
    <w:semiHidden/>
    <w:unhideWhenUsed/>
    <w:rsid w:val="002C21A0"/>
    <w:rPr>
      <w:b/>
      <w:bCs/>
    </w:rPr>
  </w:style>
  <w:style w:type="character" w:customStyle="1" w:styleId="CommentSubjectChar">
    <w:name w:val="Comment Subject Char"/>
    <w:basedOn w:val="CommentTextChar"/>
    <w:link w:val="CommentSubject"/>
    <w:uiPriority w:val="99"/>
    <w:semiHidden/>
    <w:rsid w:val="002C21A0"/>
    <w:rPr>
      <w:b/>
      <w:bCs/>
      <w:sz w:val="20"/>
      <w:szCs w:val="20"/>
    </w:rPr>
  </w:style>
  <w:style w:type="paragraph" w:styleId="BalloonText">
    <w:name w:val="Balloon Text"/>
    <w:basedOn w:val="Normal"/>
    <w:link w:val="BalloonTextChar"/>
    <w:uiPriority w:val="99"/>
    <w:semiHidden/>
    <w:unhideWhenUsed/>
    <w:rsid w:val="002C2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1A0"/>
    <w:rPr>
      <w:rFonts w:ascii="Segoe UI" w:hAnsi="Segoe UI" w:cs="Segoe UI"/>
      <w:sz w:val="18"/>
      <w:szCs w:val="18"/>
    </w:rPr>
  </w:style>
  <w:style w:type="paragraph" w:styleId="NormalWeb">
    <w:name w:val="Normal (Web)"/>
    <w:basedOn w:val="Normal"/>
    <w:uiPriority w:val="99"/>
    <w:unhideWhenUsed/>
    <w:rsid w:val="00966029"/>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39"/>
    <w:rsid w:val="00F2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5F1"/>
    <w:pPr>
      <w:ind w:left="720"/>
      <w:contextualSpacing/>
    </w:pPr>
  </w:style>
  <w:style w:type="character" w:styleId="Hyperlink">
    <w:name w:val="Hyperlink"/>
    <w:basedOn w:val="DefaultParagraphFont"/>
    <w:uiPriority w:val="99"/>
    <w:unhideWhenUsed/>
    <w:rsid w:val="003D3261"/>
    <w:rPr>
      <w:color w:val="0563C1" w:themeColor="hyperlink"/>
      <w:u w:val="single"/>
    </w:rPr>
  </w:style>
  <w:style w:type="paragraph" w:styleId="Caption">
    <w:name w:val="caption"/>
    <w:basedOn w:val="Normal"/>
    <w:next w:val="Normal"/>
    <w:uiPriority w:val="35"/>
    <w:unhideWhenUsed/>
    <w:qFormat/>
    <w:rsid w:val="00CA65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31687">
      <w:bodyDiv w:val="1"/>
      <w:marLeft w:val="0"/>
      <w:marRight w:val="0"/>
      <w:marTop w:val="0"/>
      <w:marBottom w:val="0"/>
      <w:divBdr>
        <w:top w:val="none" w:sz="0" w:space="0" w:color="auto"/>
        <w:left w:val="none" w:sz="0" w:space="0" w:color="auto"/>
        <w:bottom w:val="none" w:sz="0" w:space="0" w:color="auto"/>
        <w:right w:val="none" w:sz="0" w:space="0" w:color="auto"/>
      </w:divBdr>
    </w:div>
    <w:div w:id="572156056">
      <w:bodyDiv w:val="1"/>
      <w:marLeft w:val="0"/>
      <w:marRight w:val="0"/>
      <w:marTop w:val="0"/>
      <w:marBottom w:val="0"/>
      <w:divBdr>
        <w:top w:val="none" w:sz="0" w:space="0" w:color="auto"/>
        <w:left w:val="none" w:sz="0" w:space="0" w:color="auto"/>
        <w:bottom w:val="none" w:sz="0" w:space="0" w:color="auto"/>
        <w:right w:val="none" w:sz="0" w:space="0" w:color="auto"/>
      </w:divBdr>
    </w:div>
    <w:div w:id="882256909">
      <w:bodyDiv w:val="1"/>
      <w:marLeft w:val="0"/>
      <w:marRight w:val="0"/>
      <w:marTop w:val="0"/>
      <w:marBottom w:val="0"/>
      <w:divBdr>
        <w:top w:val="none" w:sz="0" w:space="0" w:color="auto"/>
        <w:left w:val="none" w:sz="0" w:space="0" w:color="auto"/>
        <w:bottom w:val="none" w:sz="0" w:space="0" w:color="auto"/>
        <w:right w:val="none" w:sz="0" w:space="0" w:color="auto"/>
      </w:divBdr>
    </w:div>
    <w:div w:id="969045275">
      <w:bodyDiv w:val="1"/>
      <w:marLeft w:val="0"/>
      <w:marRight w:val="0"/>
      <w:marTop w:val="0"/>
      <w:marBottom w:val="0"/>
      <w:divBdr>
        <w:top w:val="none" w:sz="0" w:space="0" w:color="auto"/>
        <w:left w:val="none" w:sz="0" w:space="0" w:color="auto"/>
        <w:bottom w:val="none" w:sz="0" w:space="0" w:color="auto"/>
        <w:right w:val="none" w:sz="0" w:space="0" w:color="auto"/>
      </w:divBdr>
      <w:divsChild>
        <w:div w:id="1478109354">
          <w:marLeft w:val="0"/>
          <w:marRight w:val="0"/>
          <w:marTop w:val="0"/>
          <w:marBottom w:val="0"/>
          <w:divBdr>
            <w:top w:val="none" w:sz="0" w:space="0" w:color="auto"/>
            <w:left w:val="none" w:sz="0" w:space="0" w:color="auto"/>
            <w:bottom w:val="none" w:sz="0" w:space="0" w:color="auto"/>
            <w:right w:val="none" w:sz="0" w:space="0" w:color="auto"/>
          </w:divBdr>
          <w:divsChild>
            <w:div w:id="779955542">
              <w:marLeft w:val="0"/>
              <w:marRight w:val="0"/>
              <w:marTop w:val="0"/>
              <w:marBottom w:val="0"/>
              <w:divBdr>
                <w:top w:val="none" w:sz="0" w:space="0" w:color="auto"/>
                <w:left w:val="none" w:sz="0" w:space="0" w:color="auto"/>
                <w:bottom w:val="none" w:sz="0" w:space="0" w:color="auto"/>
                <w:right w:val="none" w:sz="0" w:space="0" w:color="auto"/>
              </w:divBdr>
              <w:divsChild>
                <w:div w:id="1677415582">
                  <w:marLeft w:val="0"/>
                  <w:marRight w:val="0"/>
                  <w:marTop w:val="0"/>
                  <w:marBottom w:val="0"/>
                  <w:divBdr>
                    <w:top w:val="none" w:sz="0" w:space="0" w:color="auto"/>
                    <w:left w:val="none" w:sz="0" w:space="0" w:color="auto"/>
                    <w:bottom w:val="none" w:sz="0" w:space="0" w:color="auto"/>
                    <w:right w:val="none" w:sz="0" w:space="0" w:color="auto"/>
                  </w:divBdr>
                  <w:divsChild>
                    <w:div w:id="1558475394">
                      <w:marLeft w:val="0"/>
                      <w:marRight w:val="0"/>
                      <w:marTop w:val="0"/>
                      <w:marBottom w:val="0"/>
                      <w:divBdr>
                        <w:top w:val="none" w:sz="0" w:space="0" w:color="auto"/>
                        <w:left w:val="none" w:sz="0" w:space="0" w:color="auto"/>
                        <w:bottom w:val="none" w:sz="0" w:space="0" w:color="auto"/>
                        <w:right w:val="none" w:sz="0" w:space="0" w:color="auto"/>
                      </w:divBdr>
                      <w:divsChild>
                        <w:div w:id="207228602">
                          <w:marLeft w:val="0"/>
                          <w:marRight w:val="0"/>
                          <w:marTop w:val="0"/>
                          <w:marBottom w:val="0"/>
                          <w:divBdr>
                            <w:top w:val="none" w:sz="0" w:space="0" w:color="auto"/>
                            <w:left w:val="none" w:sz="0" w:space="0" w:color="auto"/>
                            <w:bottom w:val="none" w:sz="0" w:space="0" w:color="auto"/>
                            <w:right w:val="none" w:sz="0" w:space="0" w:color="auto"/>
                          </w:divBdr>
                          <w:divsChild>
                            <w:div w:id="210384646">
                              <w:marLeft w:val="0"/>
                              <w:marRight w:val="0"/>
                              <w:marTop w:val="0"/>
                              <w:marBottom w:val="0"/>
                              <w:divBdr>
                                <w:top w:val="none" w:sz="0" w:space="0" w:color="auto"/>
                                <w:left w:val="none" w:sz="0" w:space="0" w:color="auto"/>
                                <w:bottom w:val="none" w:sz="0" w:space="0" w:color="auto"/>
                                <w:right w:val="none" w:sz="0" w:space="0" w:color="auto"/>
                              </w:divBdr>
                              <w:divsChild>
                                <w:div w:id="347953647">
                                  <w:marLeft w:val="0"/>
                                  <w:marRight w:val="0"/>
                                  <w:marTop w:val="0"/>
                                  <w:marBottom w:val="0"/>
                                  <w:divBdr>
                                    <w:top w:val="none" w:sz="0" w:space="0" w:color="auto"/>
                                    <w:left w:val="none" w:sz="0" w:space="0" w:color="auto"/>
                                    <w:bottom w:val="none" w:sz="0" w:space="0" w:color="auto"/>
                                    <w:right w:val="none" w:sz="0" w:space="0" w:color="auto"/>
                                  </w:divBdr>
                                  <w:divsChild>
                                    <w:div w:id="596519178">
                                      <w:marLeft w:val="0"/>
                                      <w:marRight w:val="0"/>
                                      <w:marTop w:val="0"/>
                                      <w:marBottom w:val="0"/>
                                      <w:divBdr>
                                        <w:top w:val="none" w:sz="0" w:space="0" w:color="auto"/>
                                        <w:left w:val="none" w:sz="0" w:space="0" w:color="auto"/>
                                        <w:bottom w:val="none" w:sz="0" w:space="0" w:color="auto"/>
                                        <w:right w:val="none" w:sz="0" w:space="0" w:color="auto"/>
                                      </w:divBdr>
                                      <w:divsChild>
                                        <w:div w:id="1329671798">
                                          <w:marLeft w:val="0"/>
                                          <w:marRight w:val="0"/>
                                          <w:marTop w:val="0"/>
                                          <w:marBottom w:val="0"/>
                                          <w:divBdr>
                                            <w:top w:val="none" w:sz="0" w:space="0" w:color="auto"/>
                                            <w:left w:val="none" w:sz="0" w:space="0" w:color="auto"/>
                                            <w:bottom w:val="none" w:sz="0" w:space="0" w:color="auto"/>
                                            <w:right w:val="none" w:sz="0" w:space="0" w:color="auto"/>
                                          </w:divBdr>
                                          <w:divsChild>
                                            <w:div w:id="1126705154">
                                              <w:marLeft w:val="0"/>
                                              <w:marRight w:val="0"/>
                                              <w:marTop w:val="0"/>
                                              <w:marBottom w:val="0"/>
                                              <w:divBdr>
                                                <w:top w:val="none" w:sz="0" w:space="0" w:color="auto"/>
                                                <w:left w:val="none" w:sz="0" w:space="0" w:color="auto"/>
                                                <w:bottom w:val="none" w:sz="0" w:space="0" w:color="auto"/>
                                                <w:right w:val="none" w:sz="0" w:space="0" w:color="auto"/>
                                              </w:divBdr>
                                              <w:divsChild>
                                                <w:div w:id="2040155430">
                                                  <w:marLeft w:val="0"/>
                                                  <w:marRight w:val="0"/>
                                                  <w:marTop w:val="0"/>
                                                  <w:marBottom w:val="0"/>
                                                  <w:divBdr>
                                                    <w:top w:val="none" w:sz="0" w:space="0" w:color="auto"/>
                                                    <w:left w:val="none" w:sz="0" w:space="0" w:color="auto"/>
                                                    <w:bottom w:val="none" w:sz="0" w:space="0" w:color="auto"/>
                                                    <w:right w:val="none" w:sz="0" w:space="0" w:color="auto"/>
                                                  </w:divBdr>
                                                  <w:divsChild>
                                                    <w:div w:id="1613779674">
                                                      <w:marLeft w:val="0"/>
                                                      <w:marRight w:val="0"/>
                                                      <w:marTop w:val="0"/>
                                                      <w:marBottom w:val="0"/>
                                                      <w:divBdr>
                                                        <w:top w:val="none" w:sz="0" w:space="0" w:color="auto"/>
                                                        <w:left w:val="none" w:sz="0" w:space="0" w:color="auto"/>
                                                        <w:bottom w:val="none" w:sz="0" w:space="0" w:color="auto"/>
                                                        <w:right w:val="none" w:sz="0" w:space="0" w:color="auto"/>
                                                      </w:divBdr>
                                                      <w:divsChild>
                                                        <w:div w:id="8608595">
                                                          <w:marLeft w:val="0"/>
                                                          <w:marRight w:val="0"/>
                                                          <w:marTop w:val="0"/>
                                                          <w:marBottom w:val="0"/>
                                                          <w:divBdr>
                                                            <w:top w:val="none" w:sz="0" w:space="0" w:color="auto"/>
                                                            <w:left w:val="none" w:sz="0" w:space="0" w:color="auto"/>
                                                            <w:bottom w:val="none" w:sz="0" w:space="0" w:color="auto"/>
                                                            <w:right w:val="none" w:sz="0" w:space="0" w:color="auto"/>
                                                          </w:divBdr>
                                                          <w:divsChild>
                                                            <w:div w:id="804277461">
                                                              <w:marLeft w:val="0"/>
                                                              <w:marRight w:val="0"/>
                                                              <w:marTop w:val="0"/>
                                                              <w:marBottom w:val="0"/>
                                                              <w:divBdr>
                                                                <w:top w:val="none" w:sz="0" w:space="0" w:color="auto"/>
                                                                <w:left w:val="none" w:sz="0" w:space="0" w:color="auto"/>
                                                                <w:bottom w:val="none" w:sz="0" w:space="0" w:color="auto"/>
                                                                <w:right w:val="none" w:sz="0" w:space="0" w:color="auto"/>
                                                              </w:divBdr>
                                                              <w:divsChild>
                                                                <w:div w:id="1309701302">
                                                                  <w:marLeft w:val="0"/>
                                                                  <w:marRight w:val="0"/>
                                                                  <w:marTop w:val="0"/>
                                                                  <w:marBottom w:val="0"/>
                                                                  <w:divBdr>
                                                                    <w:top w:val="none" w:sz="0" w:space="0" w:color="auto"/>
                                                                    <w:left w:val="none" w:sz="0" w:space="0" w:color="auto"/>
                                                                    <w:bottom w:val="none" w:sz="0" w:space="0" w:color="auto"/>
                                                                    <w:right w:val="none" w:sz="0" w:space="0" w:color="auto"/>
                                                                  </w:divBdr>
                                                                  <w:divsChild>
                                                                    <w:div w:id="273055188">
                                                                      <w:marLeft w:val="0"/>
                                                                      <w:marRight w:val="0"/>
                                                                      <w:marTop w:val="0"/>
                                                                      <w:marBottom w:val="0"/>
                                                                      <w:divBdr>
                                                                        <w:top w:val="none" w:sz="0" w:space="0" w:color="auto"/>
                                                                        <w:left w:val="none" w:sz="0" w:space="0" w:color="auto"/>
                                                                        <w:bottom w:val="none" w:sz="0" w:space="0" w:color="auto"/>
                                                                        <w:right w:val="none" w:sz="0" w:space="0" w:color="auto"/>
                                                                      </w:divBdr>
                                                                      <w:divsChild>
                                                                        <w:div w:id="587353428">
                                                                          <w:marLeft w:val="0"/>
                                                                          <w:marRight w:val="0"/>
                                                                          <w:marTop w:val="0"/>
                                                                          <w:marBottom w:val="0"/>
                                                                          <w:divBdr>
                                                                            <w:top w:val="none" w:sz="0" w:space="0" w:color="auto"/>
                                                                            <w:left w:val="none" w:sz="0" w:space="0" w:color="auto"/>
                                                                            <w:bottom w:val="none" w:sz="0" w:space="0" w:color="auto"/>
                                                                            <w:right w:val="none" w:sz="0" w:space="0" w:color="auto"/>
                                                                          </w:divBdr>
                                                                          <w:divsChild>
                                                                            <w:div w:id="1584217538">
                                                                              <w:marLeft w:val="0"/>
                                                                              <w:marRight w:val="0"/>
                                                                              <w:marTop w:val="0"/>
                                                                              <w:marBottom w:val="0"/>
                                                                              <w:divBdr>
                                                                                <w:top w:val="none" w:sz="0" w:space="0" w:color="auto"/>
                                                                                <w:left w:val="none" w:sz="0" w:space="0" w:color="auto"/>
                                                                                <w:bottom w:val="none" w:sz="0" w:space="0" w:color="auto"/>
                                                                                <w:right w:val="none" w:sz="0" w:space="0" w:color="auto"/>
                                                                              </w:divBdr>
                                                                              <w:divsChild>
                                                                                <w:div w:id="1892379048">
                                                                                  <w:marLeft w:val="0"/>
                                                                                  <w:marRight w:val="0"/>
                                                                                  <w:marTop w:val="0"/>
                                                                                  <w:marBottom w:val="0"/>
                                                                                  <w:divBdr>
                                                                                    <w:top w:val="none" w:sz="0" w:space="0" w:color="auto"/>
                                                                                    <w:left w:val="none" w:sz="0" w:space="0" w:color="auto"/>
                                                                                    <w:bottom w:val="none" w:sz="0" w:space="0" w:color="auto"/>
                                                                                    <w:right w:val="none" w:sz="0" w:space="0" w:color="auto"/>
                                                                                  </w:divBdr>
                                                                                  <w:divsChild>
                                                                                    <w:div w:id="38601012">
                                                                                      <w:marLeft w:val="0"/>
                                                                                      <w:marRight w:val="0"/>
                                                                                      <w:marTop w:val="0"/>
                                                                                      <w:marBottom w:val="0"/>
                                                                                      <w:divBdr>
                                                                                        <w:top w:val="none" w:sz="0" w:space="0" w:color="auto"/>
                                                                                        <w:left w:val="none" w:sz="0" w:space="0" w:color="auto"/>
                                                                                        <w:bottom w:val="none" w:sz="0" w:space="0" w:color="auto"/>
                                                                                        <w:right w:val="none" w:sz="0" w:space="0" w:color="auto"/>
                                                                                      </w:divBdr>
                                                                                      <w:divsChild>
                                                                                        <w:div w:id="500392915">
                                                                                          <w:marLeft w:val="0"/>
                                                                                          <w:marRight w:val="0"/>
                                                                                          <w:marTop w:val="0"/>
                                                                                          <w:marBottom w:val="0"/>
                                                                                          <w:divBdr>
                                                                                            <w:top w:val="none" w:sz="0" w:space="0" w:color="auto"/>
                                                                                            <w:left w:val="none" w:sz="0" w:space="0" w:color="auto"/>
                                                                                            <w:bottom w:val="none" w:sz="0" w:space="0" w:color="auto"/>
                                                                                            <w:right w:val="none" w:sz="0" w:space="0" w:color="auto"/>
                                                                                          </w:divBdr>
                                                                                          <w:divsChild>
                                                                                            <w:div w:id="732654677">
                                                                                              <w:marLeft w:val="0"/>
                                                                                              <w:marRight w:val="0"/>
                                                                                              <w:marTop w:val="0"/>
                                                                                              <w:marBottom w:val="0"/>
                                                                                              <w:divBdr>
                                                                                                <w:top w:val="none" w:sz="0" w:space="0" w:color="auto"/>
                                                                                                <w:left w:val="none" w:sz="0" w:space="0" w:color="auto"/>
                                                                                                <w:bottom w:val="none" w:sz="0" w:space="0" w:color="auto"/>
                                                                                                <w:right w:val="none" w:sz="0" w:space="0" w:color="auto"/>
                                                                                              </w:divBdr>
                                                                                              <w:divsChild>
                                                                                                <w:div w:id="251474991">
                                                                                                  <w:marLeft w:val="0"/>
                                                                                                  <w:marRight w:val="0"/>
                                                                                                  <w:marTop w:val="0"/>
                                                                                                  <w:marBottom w:val="0"/>
                                                                                                  <w:divBdr>
                                                                                                    <w:top w:val="none" w:sz="0" w:space="0" w:color="auto"/>
                                                                                                    <w:left w:val="none" w:sz="0" w:space="0" w:color="auto"/>
                                                                                                    <w:bottom w:val="none" w:sz="0" w:space="0" w:color="auto"/>
                                                                                                    <w:right w:val="none" w:sz="0" w:space="0" w:color="auto"/>
                                                                                                  </w:divBdr>
                                                                                                  <w:divsChild>
                                                                                                    <w:div w:id="1253394052">
                                                                                                      <w:marLeft w:val="0"/>
                                                                                                      <w:marRight w:val="0"/>
                                                                                                      <w:marTop w:val="0"/>
                                                                                                      <w:marBottom w:val="0"/>
                                                                                                      <w:divBdr>
                                                                                                        <w:top w:val="none" w:sz="0" w:space="0" w:color="auto"/>
                                                                                                        <w:left w:val="none" w:sz="0" w:space="0" w:color="auto"/>
                                                                                                        <w:bottom w:val="none" w:sz="0" w:space="0" w:color="auto"/>
                                                                                                        <w:right w:val="none" w:sz="0" w:space="0" w:color="auto"/>
                                                                                                      </w:divBdr>
                                                                                                      <w:divsChild>
                                                                                                        <w:div w:id="1917392853">
                                                                                                          <w:marLeft w:val="0"/>
                                                                                                          <w:marRight w:val="0"/>
                                                                                                          <w:marTop w:val="0"/>
                                                                                                          <w:marBottom w:val="0"/>
                                                                                                          <w:divBdr>
                                                                                                            <w:top w:val="none" w:sz="0" w:space="0" w:color="auto"/>
                                                                                                            <w:left w:val="none" w:sz="0" w:space="0" w:color="auto"/>
                                                                                                            <w:bottom w:val="none" w:sz="0" w:space="0" w:color="auto"/>
                                                                                                            <w:right w:val="none" w:sz="0" w:space="0" w:color="auto"/>
                                                                                                          </w:divBdr>
                                                                                                          <w:divsChild>
                                                                                                            <w:div w:id="713122544">
                                                                                                              <w:marLeft w:val="0"/>
                                                                                                              <w:marRight w:val="0"/>
                                                                                                              <w:marTop w:val="0"/>
                                                                                                              <w:marBottom w:val="0"/>
                                                                                                              <w:divBdr>
                                                                                                                <w:top w:val="none" w:sz="0" w:space="0" w:color="auto"/>
                                                                                                                <w:left w:val="none" w:sz="0" w:space="0" w:color="auto"/>
                                                                                                                <w:bottom w:val="none" w:sz="0" w:space="0" w:color="auto"/>
                                                                                                                <w:right w:val="none" w:sz="0" w:space="0" w:color="auto"/>
                                                                                                              </w:divBdr>
                                                                                                              <w:divsChild>
                                                                                                                <w:div w:id="664552544">
                                                                                                                  <w:marLeft w:val="0"/>
                                                                                                                  <w:marRight w:val="0"/>
                                                                                                                  <w:marTop w:val="0"/>
                                                                                                                  <w:marBottom w:val="0"/>
                                                                                                                  <w:divBdr>
                                                                                                                    <w:top w:val="none" w:sz="0" w:space="0" w:color="auto"/>
                                                                                                                    <w:left w:val="none" w:sz="0" w:space="0" w:color="auto"/>
                                                                                                                    <w:bottom w:val="none" w:sz="0" w:space="0" w:color="auto"/>
                                                                                                                    <w:right w:val="none" w:sz="0" w:space="0" w:color="auto"/>
                                                                                                                  </w:divBdr>
                                                                                                                  <w:divsChild>
                                                                                                                    <w:div w:id="1977300061">
                                                                                                                      <w:marLeft w:val="0"/>
                                                                                                                      <w:marRight w:val="0"/>
                                                                                                                      <w:marTop w:val="0"/>
                                                                                                                      <w:marBottom w:val="0"/>
                                                                                                                      <w:divBdr>
                                                                                                                        <w:top w:val="none" w:sz="0" w:space="0" w:color="auto"/>
                                                                                                                        <w:left w:val="none" w:sz="0" w:space="0" w:color="auto"/>
                                                                                                                        <w:bottom w:val="none" w:sz="0" w:space="0" w:color="auto"/>
                                                                                                                        <w:right w:val="none" w:sz="0" w:space="0" w:color="auto"/>
                                                                                                                      </w:divBdr>
                                                                                                                      <w:divsChild>
                                                                                                                        <w:div w:id="1059741901">
                                                                                                                          <w:marLeft w:val="0"/>
                                                                                                                          <w:marRight w:val="0"/>
                                                                                                                          <w:marTop w:val="0"/>
                                                                                                                          <w:marBottom w:val="0"/>
                                                                                                                          <w:divBdr>
                                                                                                                            <w:top w:val="none" w:sz="0" w:space="0" w:color="auto"/>
                                                                                                                            <w:left w:val="none" w:sz="0" w:space="0" w:color="auto"/>
                                                                                                                            <w:bottom w:val="none" w:sz="0" w:space="0" w:color="auto"/>
                                                                                                                            <w:right w:val="none" w:sz="0" w:space="0" w:color="auto"/>
                                                                                                                          </w:divBdr>
                                                                                                                          <w:divsChild>
                                                                                                                            <w:div w:id="1062286549">
                                                                                                                              <w:marLeft w:val="0"/>
                                                                                                                              <w:marRight w:val="0"/>
                                                                                                                              <w:marTop w:val="0"/>
                                                                                                                              <w:marBottom w:val="0"/>
                                                                                                                              <w:divBdr>
                                                                                                                                <w:top w:val="none" w:sz="0" w:space="0" w:color="auto"/>
                                                                                                                                <w:left w:val="none" w:sz="0" w:space="0" w:color="auto"/>
                                                                                                                                <w:bottom w:val="none" w:sz="0" w:space="0" w:color="auto"/>
                                                                                                                                <w:right w:val="none" w:sz="0" w:space="0" w:color="auto"/>
                                                                                                                              </w:divBdr>
                                                                                                                              <w:divsChild>
                                                                                                                                <w:div w:id="640963162">
                                                                                                                                  <w:marLeft w:val="0"/>
                                                                                                                                  <w:marRight w:val="0"/>
                                                                                                                                  <w:marTop w:val="0"/>
                                                                                                                                  <w:marBottom w:val="0"/>
                                                                                                                                  <w:divBdr>
                                                                                                                                    <w:top w:val="none" w:sz="0" w:space="0" w:color="auto"/>
                                                                                                                                    <w:left w:val="none" w:sz="0" w:space="0" w:color="auto"/>
                                                                                                                                    <w:bottom w:val="none" w:sz="0" w:space="0" w:color="auto"/>
                                                                                                                                    <w:right w:val="none" w:sz="0" w:space="0" w:color="auto"/>
                                                                                                                                  </w:divBdr>
                                                                                                                                  <w:divsChild>
                                                                                                                                    <w:div w:id="817963628">
                                                                                                                                      <w:marLeft w:val="0"/>
                                                                                                                                      <w:marRight w:val="0"/>
                                                                                                                                      <w:marTop w:val="0"/>
                                                                                                                                      <w:marBottom w:val="0"/>
                                                                                                                                      <w:divBdr>
                                                                                                                                        <w:top w:val="none" w:sz="0" w:space="0" w:color="auto"/>
                                                                                                                                        <w:left w:val="none" w:sz="0" w:space="0" w:color="auto"/>
                                                                                                                                        <w:bottom w:val="none" w:sz="0" w:space="0" w:color="auto"/>
                                                                                                                                        <w:right w:val="none" w:sz="0" w:space="0" w:color="auto"/>
                                                                                                                                      </w:divBdr>
                                                                                                                                      <w:divsChild>
                                                                                                                                        <w:div w:id="1265846531">
                                                                                                                                          <w:marLeft w:val="0"/>
                                                                                                                                          <w:marRight w:val="0"/>
                                                                                                                                          <w:marTop w:val="0"/>
                                                                                                                                          <w:marBottom w:val="0"/>
                                                                                                                                          <w:divBdr>
                                                                                                                                            <w:top w:val="none" w:sz="0" w:space="0" w:color="auto"/>
                                                                                                                                            <w:left w:val="none" w:sz="0" w:space="0" w:color="auto"/>
                                                                                                                                            <w:bottom w:val="none" w:sz="0" w:space="0" w:color="auto"/>
                                                                                                                                            <w:right w:val="none" w:sz="0" w:space="0" w:color="auto"/>
                                                                                                                                          </w:divBdr>
                                                                                                                                          <w:divsChild>
                                                                                                                                            <w:div w:id="885221603">
                                                                                                                                              <w:marLeft w:val="0"/>
                                                                                                                                              <w:marRight w:val="0"/>
                                                                                                                                              <w:marTop w:val="0"/>
                                                                                                                                              <w:marBottom w:val="0"/>
                                                                                                                                              <w:divBdr>
                                                                                                                                                <w:top w:val="none" w:sz="0" w:space="0" w:color="auto"/>
                                                                                                                                                <w:left w:val="none" w:sz="0" w:space="0" w:color="auto"/>
                                                                                                                                                <w:bottom w:val="none" w:sz="0" w:space="0" w:color="auto"/>
                                                                                                                                                <w:right w:val="none" w:sz="0" w:space="0" w:color="auto"/>
                                                                                                                                              </w:divBdr>
                                                                                                                                              <w:divsChild>
                                                                                                                                                <w:div w:id="781850497">
                                                                                                                                                  <w:marLeft w:val="0"/>
                                                                                                                                                  <w:marRight w:val="0"/>
                                                                                                                                                  <w:marTop w:val="0"/>
                                                                                                                                                  <w:marBottom w:val="0"/>
                                                                                                                                                  <w:divBdr>
                                                                                                                                                    <w:top w:val="none" w:sz="0" w:space="0" w:color="auto"/>
                                                                                                                                                    <w:left w:val="none" w:sz="0" w:space="0" w:color="auto"/>
                                                                                                                                                    <w:bottom w:val="none" w:sz="0" w:space="0" w:color="auto"/>
                                                                                                                                                    <w:right w:val="none" w:sz="0" w:space="0" w:color="auto"/>
                                                                                                                                                  </w:divBdr>
                                                                                                                                                  <w:divsChild>
                                                                                                                                                    <w:div w:id="1721321773">
                                                                                                                                                      <w:marLeft w:val="0"/>
                                                                                                                                                      <w:marRight w:val="0"/>
                                                                                                                                                      <w:marTop w:val="0"/>
                                                                                                                                                      <w:marBottom w:val="0"/>
                                                                                                                                                      <w:divBdr>
                                                                                                                                                        <w:top w:val="none" w:sz="0" w:space="0" w:color="auto"/>
                                                                                                                                                        <w:left w:val="none" w:sz="0" w:space="0" w:color="auto"/>
                                                                                                                                                        <w:bottom w:val="none" w:sz="0" w:space="0" w:color="auto"/>
                                                                                                                                                        <w:right w:val="none" w:sz="0" w:space="0" w:color="auto"/>
                                                                                                                                                      </w:divBdr>
                                                                                                                                                      <w:divsChild>
                                                                                                                                                        <w:div w:id="114717429">
                                                                                                                                                          <w:marLeft w:val="0"/>
                                                                                                                                                          <w:marRight w:val="0"/>
                                                                                                                                                          <w:marTop w:val="0"/>
                                                                                                                                                          <w:marBottom w:val="0"/>
                                                                                                                                                          <w:divBdr>
                                                                                                                                                            <w:top w:val="none" w:sz="0" w:space="0" w:color="auto"/>
                                                                                                                                                            <w:left w:val="none" w:sz="0" w:space="0" w:color="auto"/>
                                                                                                                                                            <w:bottom w:val="none" w:sz="0" w:space="0" w:color="auto"/>
                                                                                                                                                            <w:right w:val="none" w:sz="0" w:space="0" w:color="auto"/>
                                                                                                                                                          </w:divBdr>
                                                                                                                                                          <w:divsChild>
                                                                                                                                                            <w:div w:id="580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521935">
      <w:bodyDiv w:val="1"/>
      <w:marLeft w:val="0"/>
      <w:marRight w:val="0"/>
      <w:marTop w:val="0"/>
      <w:marBottom w:val="0"/>
      <w:divBdr>
        <w:top w:val="none" w:sz="0" w:space="0" w:color="auto"/>
        <w:left w:val="none" w:sz="0" w:space="0" w:color="auto"/>
        <w:bottom w:val="none" w:sz="0" w:space="0" w:color="auto"/>
        <w:right w:val="none" w:sz="0" w:space="0" w:color="auto"/>
      </w:divBdr>
    </w:div>
    <w:div w:id="1365715861">
      <w:bodyDiv w:val="1"/>
      <w:marLeft w:val="0"/>
      <w:marRight w:val="0"/>
      <w:marTop w:val="0"/>
      <w:marBottom w:val="0"/>
      <w:divBdr>
        <w:top w:val="none" w:sz="0" w:space="0" w:color="auto"/>
        <w:left w:val="none" w:sz="0" w:space="0" w:color="auto"/>
        <w:bottom w:val="none" w:sz="0" w:space="0" w:color="auto"/>
        <w:right w:val="none" w:sz="0" w:space="0" w:color="auto"/>
      </w:divBdr>
    </w:div>
    <w:div w:id="19058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DACB-F83F-4F9B-AB20-0C06C442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4825</TotalTime>
  <Pages>13</Pages>
  <Words>16157</Words>
  <Characters>92099</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86</cp:revision>
  <dcterms:created xsi:type="dcterms:W3CDTF">2015-06-18T05:27:00Z</dcterms:created>
  <dcterms:modified xsi:type="dcterms:W3CDTF">2015-08-01T02:59:00Z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