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0607A" w14:textId="77777777" w:rsidR="006A3F4F" w:rsidRPr="00C26C6D" w:rsidRDefault="006A3F4F" w:rsidP="009F65E7">
      <w:pPr>
        <w:spacing w:line="360" w:lineRule="auto"/>
        <w:rPr>
          <w:i/>
          <w:sz w:val="28"/>
        </w:rPr>
      </w:pPr>
      <w:r w:rsidRPr="006A3F4F">
        <w:rPr>
          <w:i/>
          <w:sz w:val="28"/>
        </w:rPr>
        <w:t>Environmental drivers of taxonomic and functional diversity of riparian plant communities in a modified landscape</w:t>
      </w:r>
      <w:r w:rsidRPr="00C26C6D">
        <w:rPr>
          <w:i/>
          <w:sz w:val="28"/>
        </w:rPr>
        <w:t>.</w:t>
      </w:r>
    </w:p>
    <w:p w14:paraId="56F1F485" w14:textId="77777777" w:rsidR="006A3F4F" w:rsidRPr="00C26C6D" w:rsidRDefault="006A3F4F" w:rsidP="009F65E7">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 xml:space="preserve">, </w:t>
      </w:r>
      <w:r>
        <w:t>Rachael V. Gallagher</w:t>
      </w:r>
      <w:r w:rsidRPr="006A3F4F">
        <w:rPr>
          <w:vertAlign w:val="superscript"/>
        </w:rPr>
        <w:t>1</w:t>
      </w:r>
      <w:r>
        <w:t>, Cassandra S. James</w:t>
      </w:r>
      <w:r w:rsidRPr="002014BF">
        <w:rPr>
          <w:vertAlign w:val="superscript"/>
        </w:rPr>
        <w:t>3</w:t>
      </w:r>
      <w:r>
        <w:t xml:space="preserve">, </w:t>
      </w:r>
      <w:r w:rsidRPr="00C26C6D">
        <w:t>and Michelle R. Leishman</w:t>
      </w:r>
      <w:r w:rsidRPr="00C26C6D">
        <w:rPr>
          <w:vertAlign w:val="superscript"/>
        </w:rPr>
        <w:t>1</w:t>
      </w:r>
    </w:p>
    <w:p w14:paraId="1B3E881B" w14:textId="77777777" w:rsidR="006A3F4F" w:rsidRPr="00C26C6D" w:rsidRDefault="006A3F4F" w:rsidP="009F65E7">
      <w:pPr>
        <w:spacing w:line="360" w:lineRule="auto"/>
        <w:jc w:val="both"/>
        <w:rPr>
          <w:vertAlign w:val="superscript"/>
        </w:rPr>
      </w:pPr>
    </w:p>
    <w:p w14:paraId="48F83BF7" w14:textId="77777777" w:rsidR="006A3F4F" w:rsidRPr="00C26C6D" w:rsidRDefault="006A3F4F" w:rsidP="009F65E7">
      <w:pPr>
        <w:pStyle w:val="ListParagraph"/>
        <w:numPr>
          <w:ilvl w:val="0"/>
          <w:numId w:val="1"/>
        </w:numPr>
        <w:spacing w:line="360" w:lineRule="auto"/>
        <w:jc w:val="both"/>
      </w:pPr>
      <w:r w:rsidRPr="00C26C6D">
        <w:t xml:space="preserve">Department of Biological Sciences, Macquarie University, </w:t>
      </w:r>
      <w:r>
        <w:t>New South Wales</w:t>
      </w:r>
      <w:r w:rsidRPr="00C26C6D">
        <w:t>, Australia</w:t>
      </w:r>
    </w:p>
    <w:p w14:paraId="7621497F" w14:textId="77777777" w:rsidR="006A3F4F" w:rsidRDefault="006A3F4F" w:rsidP="009F65E7">
      <w:pPr>
        <w:pStyle w:val="ListParagraph"/>
        <w:numPr>
          <w:ilvl w:val="0"/>
          <w:numId w:val="1"/>
        </w:numPr>
        <w:spacing w:line="360" w:lineRule="auto"/>
        <w:jc w:val="both"/>
      </w:pPr>
      <w:r w:rsidRPr="00C26C6D">
        <w:t xml:space="preserve">Department of Environmental Sciences, Macquarie University, </w:t>
      </w:r>
      <w:r>
        <w:t>New South Wales</w:t>
      </w:r>
      <w:r w:rsidRPr="00C26C6D">
        <w:t>, Australia</w:t>
      </w:r>
    </w:p>
    <w:p w14:paraId="760D7403" w14:textId="77777777" w:rsidR="006A3F4F" w:rsidRPr="00C26C6D" w:rsidRDefault="006A3F4F" w:rsidP="009F65E7">
      <w:pPr>
        <w:pStyle w:val="ListParagraph"/>
        <w:numPr>
          <w:ilvl w:val="0"/>
          <w:numId w:val="1"/>
        </w:numPr>
        <w:spacing w:line="360" w:lineRule="auto"/>
        <w:jc w:val="both"/>
      </w:pPr>
      <w:r>
        <w:t>Centre for Tropical Biodiversity and Climate Change and Centre for Tropical Water and Aquatic Ecosystem Research, James Cook University, Townsville, Australia</w:t>
      </w:r>
    </w:p>
    <w:p w14:paraId="7D288010" w14:textId="77777777" w:rsidR="006A3F4F" w:rsidRPr="00C26C6D" w:rsidRDefault="006A3F4F" w:rsidP="009F65E7">
      <w:pPr>
        <w:spacing w:line="360" w:lineRule="auto"/>
        <w:jc w:val="both"/>
      </w:pPr>
      <w:r w:rsidRPr="00C26C6D">
        <w:t xml:space="preserve">* </w:t>
      </w:r>
      <w:hyperlink r:id="rId6" w:history="1">
        <w:r w:rsidRPr="00C26C6D">
          <w:rPr>
            <w:rStyle w:val="Hyperlink"/>
          </w:rPr>
          <w:t>james.lawson@mq.edu.au</w:t>
        </w:r>
      </w:hyperlink>
      <w:r w:rsidRPr="00C26C6D">
        <w:t>, fax: +61 2 9850 8245, phone: +61 2 9850 8160</w:t>
      </w:r>
    </w:p>
    <w:p w14:paraId="15C5D216" w14:textId="77777777" w:rsidR="006A3F4F" w:rsidRPr="00C26C6D" w:rsidRDefault="006A3F4F" w:rsidP="009F65E7">
      <w:pPr>
        <w:spacing w:line="360" w:lineRule="auto"/>
        <w:jc w:val="both"/>
      </w:pPr>
    </w:p>
    <w:p w14:paraId="61195B99" w14:textId="77777777" w:rsidR="006A3F4F" w:rsidRPr="00C26C6D" w:rsidRDefault="006A3F4F" w:rsidP="009F65E7">
      <w:pPr>
        <w:spacing w:line="360" w:lineRule="auto"/>
        <w:jc w:val="both"/>
      </w:pPr>
      <w:r w:rsidRPr="00C26C6D">
        <w:t>Running title: “</w:t>
      </w:r>
      <w:r>
        <w:t>Drivers of riparian plant diversity in modified landscapes</w:t>
      </w:r>
      <w:r w:rsidRPr="00C26C6D">
        <w:t>”</w:t>
      </w:r>
    </w:p>
    <w:p w14:paraId="24DBF2F9" w14:textId="77777777" w:rsidR="006A3F4F" w:rsidRPr="00C26C6D" w:rsidRDefault="006A3F4F" w:rsidP="009F65E7">
      <w:pPr>
        <w:spacing w:line="360" w:lineRule="auto"/>
        <w:jc w:val="both"/>
      </w:pPr>
      <w:r w:rsidRPr="00C26C6D">
        <w:t xml:space="preserve">Keywords: riparian vegetation, functional trait, functional diversity, environmental heterogeneity, </w:t>
      </w:r>
      <w:r>
        <w:t>flow modification, land use</w:t>
      </w:r>
    </w:p>
    <w:p w14:paraId="2504EDA3" w14:textId="77777777" w:rsidR="006A3F4F" w:rsidRDefault="006A3F4F" w:rsidP="009F65E7">
      <w:pPr>
        <w:spacing w:line="360" w:lineRule="auto"/>
      </w:pPr>
    </w:p>
    <w:p w14:paraId="491D3C03" w14:textId="77777777" w:rsidR="006A3F4F" w:rsidRDefault="006A3F4F" w:rsidP="009F65E7">
      <w:pPr>
        <w:spacing w:line="360" w:lineRule="auto"/>
      </w:pPr>
    </w:p>
    <w:p w14:paraId="019428F8" w14:textId="77777777" w:rsidR="006A3F4F" w:rsidRDefault="006A3F4F" w:rsidP="009F65E7">
      <w:pPr>
        <w:spacing w:line="360" w:lineRule="auto"/>
      </w:pPr>
    </w:p>
    <w:p w14:paraId="2BF45875" w14:textId="77777777" w:rsidR="006A3F4F" w:rsidRDefault="006A3F4F" w:rsidP="009F65E7">
      <w:pPr>
        <w:spacing w:line="360" w:lineRule="auto"/>
      </w:pPr>
    </w:p>
    <w:p w14:paraId="57F25A58" w14:textId="77777777" w:rsidR="006A3F4F" w:rsidRDefault="006A3F4F" w:rsidP="009F65E7">
      <w:pPr>
        <w:spacing w:line="360" w:lineRule="auto"/>
      </w:pPr>
    </w:p>
    <w:p w14:paraId="0780BF25" w14:textId="77777777" w:rsidR="006A3F4F" w:rsidRDefault="006A3F4F" w:rsidP="009F65E7">
      <w:pPr>
        <w:spacing w:line="360" w:lineRule="auto"/>
      </w:pPr>
    </w:p>
    <w:p w14:paraId="7131B013" w14:textId="77777777" w:rsidR="006A3F4F" w:rsidRDefault="006A3F4F" w:rsidP="009F65E7">
      <w:pPr>
        <w:spacing w:line="360" w:lineRule="auto"/>
      </w:pPr>
    </w:p>
    <w:p w14:paraId="1A3CCD9A" w14:textId="77777777" w:rsidR="006A3F4F" w:rsidRDefault="006A3F4F" w:rsidP="009F65E7">
      <w:pPr>
        <w:spacing w:line="360" w:lineRule="auto"/>
      </w:pPr>
    </w:p>
    <w:p w14:paraId="29A85ACC" w14:textId="77777777" w:rsidR="006A3F4F" w:rsidRDefault="006A3F4F" w:rsidP="009F65E7">
      <w:pPr>
        <w:spacing w:line="360" w:lineRule="auto"/>
      </w:pPr>
    </w:p>
    <w:p w14:paraId="3AB01362" w14:textId="77777777" w:rsidR="006A3F4F" w:rsidRDefault="006A3F4F" w:rsidP="009F65E7">
      <w:pPr>
        <w:spacing w:line="360" w:lineRule="auto"/>
      </w:pPr>
    </w:p>
    <w:p w14:paraId="0FE47730" w14:textId="77777777" w:rsidR="009F65E7" w:rsidRDefault="009F65E7" w:rsidP="009F65E7">
      <w:pPr>
        <w:spacing w:line="360" w:lineRule="auto"/>
      </w:pPr>
    </w:p>
    <w:p w14:paraId="4ABD2515" w14:textId="77777777" w:rsidR="009F65E7" w:rsidRDefault="009F65E7" w:rsidP="009F65E7">
      <w:pPr>
        <w:spacing w:line="360" w:lineRule="auto"/>
      </w:pPr>
    </w:p>
    <w:p w14:paraId="55447CC1" w14:textId="77777777" w:rsidR="006A3F4F" w:rsidRDefault="006A3F4F" w:rsidP="00FF6B5C">
      <w:pPr>
        <w:spacing w:line="360" w:lineRule="auto"/>
        <w:jc w:val="both"/>
      </w:pPr>
      <w:r>
        <w:lastRenderedPageBreak/>
        <w:t>SUMMARY</w:t>
      </w:r>
    </w:p>
    <w:p w14:paraId="3F72E80E" w14:textId="77777777" w:rsidR="006A3F4F" w:rsidRDefault="006A3F4F" w:rsidP="00FF6B5C">
      <w:pPr>
        <w:pStyle w:val="ListParagraph"/>
        <w:numPr>
          <w:ilvl w:val="0"/>
          <w:numId w:val="2"/>
        </w:numPr>
        <w:spacing w:line="360" w:lineRule="auto"/>
        <w:jc w:val="both"/>
      </w:pPr>
      <w:r>
        <w:t>Human populations have a profound impact on the biodiversity of riparian plant communities, and understanding the nature and mechanisms of these impacts is central to river conservation and rehabilitation. Reduction of the inherent environmental heterogeneity in riverscapes by flow modification and land-use intensification is thought to cause degradation of riparian communities.</w:t>
      </w:r>
    </w:p>
    <w:p w14:paraId="363D492A" w14:textId="7E7CE6D0" w:rsidR="006A3F4F" w:rsidRDefault="006A3F4F" w:rsidP="00FF6B5C">
      <w:pPr>
        <w:pStyle w:val="ListParagraph"/>
        <w:numPr>
          <w:ilvl w:val="0"/>
          <w:numId w:val="2"/>
        </w:numPr>
        <w:spacing w:line="36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Our aim was to tease apart the </w:t>
      </w:r>
      <w:r w:rsidR="00CA4F00">
        <w:t xml:space="preserve">importance of </w:t>
      </w:r>
      <w:r>
        <w:t>environmental factors associated with taxonomic and functional trait diversity in riparian plant communities. We specifically tested the hypotheses that environmental heterogeneity is the dominant control on taxonomic and functional trait diversity, and that flow modification and land use intensification is associated with reduced plant diversity.</w:t>
      </w:r>
    </w:p>
    <w:p w14:paraId="682C8F32" w14:textId="77777777" w:rsidR="006A3F4F" w:rsidRDefault="006A3F4F" w:rsidP="00FF6B5C">
      <w:pPr>
        <w:pStyle w:val="ListParagraph"/>
        <w:numPr>
          <w:ilvl w:val="0"/>
          <w:numId w:val="2"/>
        </w:numPr>
        <w:spacing w:line="360" w:lineRule="auto"/>
        <w:jc w:val="both"/>
      </w:pPr>
      <w: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Functional diversity metrics showed unimodal relationships with some metrics of hydrological heterogeneity, but were only weakly predicted by flow modification and showed no relationship with catchment land-use intensity.</w:t>
      </w:r>
    </w:p>
    <w:p w14:paraId="107E612F" w14:textId="1E1D5B60" w:rsidR="006A3F4F" w:rsidRDefault="006A3F4F" w:rsidP="00FF6B5C">
      <w:pPr>
        <w:pStyle w:val="ListParagraph"/>
        <w:numPr>
          <w:ilvl w:val="0"/>
          <w:numId w:val="2"/>
        </w:numPr>
        <w:spacing w:line="360" w:lineRule="auto"/>
        <w:jc w:val="both"/>
      </w:pPr>
      <w:r>
        <w:t xml:space="preserve">The absence of strong linkages between the extent </w:t>
      </w:r>
      <w:r w:rsidR="001057C7">
        <w:t xml:space="preserve">of </w:t>
      </w:r>
      <w:r>
        <w:t>flow modification and metrics of functional diversity suggests that use of environmental flows may not be</w:t>
      </w:r>
      <w:r w:rsidR="003E570B">
        <w:t xml:space="preserve"> </w:t>
      </w:r>
      <w:r w:rsidR="003E570B">
        <w:t>broadly</w:t>
      </w:r>
      <w:r>
        <w:t xml:space="preserve"> effective as a tool for riparian rehabilitation in modified subtropical landscapes such as south-eastern Queensland.</w:t>
      </w:r>
    </w:p>
    <w:p w14:paraId="5B6310C1" w14:textId="77777777" w:rsidR="009F65E7" w:rsidRDefault="009F65E7" w:rsidP="00FF6B5C">
      <w:pPr>
        <w:spacing w:line="360" w:lineRule="auto"/>
        <w:jc w:val="both"/>
      </w:pPr>
    </w:p>
    <w:p w14:paraId="02869D4D" w14:textId="77777777" w:rsidR="009F65E7" w:rsidRDefault="009F65E7" w:rsidP="00FF6B5C">
      <w:pPr>
        <w:spacing w:line="360" w:lineRule="auto"/>
        <w:jc w:val="both"/>
      </w:pPr>
    </w:p>
    <w:p w14:paraId="014D36A5" w14:textId="77777777" w:rsidR="009F65E7" w:rsidRDefault="009F65E7" w:rsidP="00FF6B5C">
      <w:pPr>
        <w:spacing w:line="360" w:lineRule="auto"/>
        <w:jc w:val="both"/>
      </w:pPr>
    </w:p>
    <w:p w14:paraId="0A35F6BE" w14:textId="77777777" w:rsidR="009F65E7" w:rsidRDefault="009F65E7" w:rsidP="00FF6B5C">
      <w:pPr>
        <w:spacing w:line="360" w:lineRule="auto"/>
        <w:jc w:val="both"/>
      </w:pPr>
    </w:p>
    <w:p w14:paraId="5347943C" w14:textId="77777777" w:rsidR="009F65E7" w:rsidRDefault="009F65E7" w:rsidP="00FF6B5C">
      <w:pPr>
        <w:spacing w:line="360" w:lineRule="auto"/>
        <w:jc w:val="both"/>
      </w:pPr>
    </w:p>
    <w:p w14:paraId="7C0E97DE" w14:textId="77777777" w:rsidR="009F65E7" w:rsidRPr="00C26C6D" w:rsidRDefault="009F65E7" w:rsidP="00FF6B5C">
      <w:pPr>
        <w:spacing w:line="360" w:lineRule="auto"/>
        <w:jc w:val="both"/>
      </w:pPr>
    </w:p>
    <w:p w14:paraId="56E51C67" w14:textId="77777777" w:rsidR="007779EC" w:rsidRDefault="00F850CF" w:rsidP="00FF6B5C">
      <w:pPr>
        <w:spacing w:line="360" w:lineRule="auto"/>
        <w:jc w:val="both"/>
      </w:pPr>
      <w:r>
        <w:lastRenderedPageBreak/>
        <w:t>INTRODUCTION</w:t>
      </w:r>
    </w:p>
    <w:p w14:paraId="2E7F85E4" w14:textId="3972BF29" w:rsidR="002014BF" w:rsidRDefault="002014BF" w:rsidP="00FF6B5C">
      <w:pPr>
        <w:spacing w:line="360" w:lineRule="auto"/>
        <w:jc w:val="both"/>
      </w:pPr>
      <w:r>
        <w:t>Riparian ecosystems are highly biodiverse, provide important ecosystem services and are the focus of substantial management effort worldwide</w:t>
      </w:r>
      <w:r w:rsidR="009F65E7">
        <w:t xml:space="preserve"> </w:t>
      </w:r>
      <w:r w:rsidR="009F65E7">
        <w:fldChar w:fldCharType="begin" w:fldLock="1"/>
      </w:r>
      <w:r w:rsidR="00370EF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9F65E7">
        <w:fldChar w:fldCharType="separate"/>
      </w:r>
      <w:r w:rsidR="00370EFC" w:rsidRPr="00370EFC">
        <w:rPr>
          <w:noProof/>
        </w:rPr>
        <w:t xml:space="preserve">(Naiman, Decamps &amp; Pollock 1993; Palmer </w:t>
      </w:r>
      <w:r w:rsidR="00370EFC" w:rsidRPr="00370EFC">
        <w:rPr>
          <w:i/>
          <w:noProof/>
        </w:rPr>
        <w:t>et al.</w:t>
      </w:r>
      <w:r w:rsidR="00370EFC" w:rsidRPr="00370EFC">
        <w:rPr>
          <w:noProof/>
        </w:rPr>
        <w:t xml:space="preserve"> 2009)</w:t>
      </w:r>
      <w:r w:rsidR="009F65E7">
        <w:fldChar w:fldCharType="end"/>
      </w:r>
      <w:r w:rsidR="009F65E7">
        <w:t>.</w:t>
      </w:r>
      <w:r>
        <w:t xml:space="preserve"> Rapid development of catchments has changed fundamental processes which create and maintain biodiversity within riparian landscapes </w:t>
      </w:r>
      <w:r w:rsidR="009F65E7">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9F65E7">
        <w:fldChar w:fldCharType="separate"/>
      </w:r>
      <w:r w:rsidR="00370EFC" w:rsidRPr="00370EFC">
        <w:rPr>
          <w:noProof/>
        </w:rPr>
        <w:t>(Nilsson &amp; Svedmark 2002)</w:t>
      </w:r>
      <w:r w:rsidR="009F65E7">
        <w:fldChar w:fldCharType="end"/>
      </w:r>
      <w:r w:rsidR="009F65E7">
        <w:t>,</w:t>
      </w:r>
      <w:r>
        <w:t xml:space="preserve"> and as such, riparian management often takes place within this context of catchment modification. Wholesale vegetation clearing notwithstanding, regulation of river flow regimes, </w:t>
      </w:r>
      <w:r w:rsidR="001057C7">
        <w:t xml:space="preserve">and </w:t>
      </w:r>
      <w:r>
        <w:t>catchment land-use change are considered key drivers of ecological change</w:t>
      </w:r>
      <w:r w:rsidR="009F65E7">
        <w:t xml:space="preserve"> </w:t>
      </w:r>
      <w:r w:rsidR="009F65E7">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"ITEM-2",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Cooper &lt;i&gt;et al.&lt;/i&gt; 2013)", "plainTextFormattedCitation" : "(Nilsson &amp; Berggren 2000; Cooper et al. 2013)", "previouslyFormattedCitation" : "(Nilsson &amp; Berggren 2000; Cooper &lt;i&gt;et al.&lt;/i&gt; 2013)" }, "properties" : { "noteIndex" : 0 }, "schema" : "https://github.com/citation-style-language/schema/raw/master/csl-citation.json" }</w:instrText>
      </w:r>
      <w:r w:rsidR="009F65E7">
        <w:fldChar w:fldCharType="separate"/>
      </w:r>
      <w:r w:rsidR="00370EFC" w:rsidRPr="00370EFC">
        <w:rPr>
          <w:noProof/>
        </w:rPr>
        <w:t xml:space="preserve">(Nilsson &amp; Berggren 2000; Cooper </w:t>
      </w:r>
      <w:r w:rsidR="00370EFC" w:rsidRPr="00370EFC">
        <w:rPr>
          <w:i/>
          <w:noProof/>
        </w:rPr>
        <w:t>et al.</w:t>
      </w:r>
      <w:r w:rsidR="00370EFC" w:rsidRPr="00370EFC">
        <w:rPr>
          <w:noProof/>
        </w:rPr>
        <w:t xml:space="preserve"> 2013)</w:t>
      </w:r>
      <w:r w:rsidR="009F65E7">
        <w:fldChar w:fldCharType="end"/>
      </w:r>
      <w:r>
        <w:t>. Maintaining indigenous plant assemblages and their associated ecosystem functions, and controlling invasive species</w:t>
      </w:r>
      <w:r w:rsidR="001057C7">
        <w:t>,</w:t>
      </w:r>
      <w:r>
        <w:t xml:space="preserve"> are central goals in river rehabilitation and riparian conse</w:t>
      </w:r>
      <w:r w:rsidR="009F65E7">
        <w:t xml:space="preserve">rvation </w:t>
      </w:r>
      <w:r w:rsidR="009F65E7">
        <w:fldChar w:fldCharType="begin" w:fldLock="1"/>
      </w:r>
      <w:r w:rsidR="00370EFC">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9F65E7">
        <w:fldChar w:fldCharType="separate"/>
      </w:r>
      <w:r w:rsidR="00370EFC" w:rsidRPr="00370EFC">
        <w:rPr>
          <w:noProof/>
        </w:rPr>
        <w:t xml:space="preserve">(Richardson </w:t>
      </w:r>
      <w:r w:rsidR="00370EFC" w:rsidRPr="00370EFC">
        <w:rPr>
          <w:i/>
          <w:noProof/>
        </w:rPr>
        <w:t>et al.</w:t>
      </w:r>
      <w:r w:rsidR="00370EFC" w:rsidRPr="00370EFC">
        <w:rPr>
          <w:noProof/>
        </w:rPr>
        <w:t xml:space="preserve"> 2007)</w:t>
      </w:r>
      <w:r w:rsidR="009F65E7">
        <w:fldChar w:fldCharType="end"/>
      </w:r>
    </w:p>
    <w:p w14:paraId="6D4059F0" w14:textId="6502083F" w:rsidR="002014BF" w:rsidRDefault="002014BF" w:rsidP="00FF6B5C">
      <w:pPr>
        <w:spacing w:line="360" w:lineRule="auto"/>
        <w:jc w:val="both"/>
      </w:pPr>
      <w:r>
        <w:t>Environmental heterogeneity is one of the major factors influencing spatial patterns of species diversity</w:t>
      </w:r>
      <w:r w:rsidR="009F65E7">
        <w:t xml:space="preserve"> </w:t>
      </w:r>
      <w:r w:rsidR="009F65E7">
        <w:fldChar w:fldCharType="begin" w:fldLock="1"/>
      </w:r>
      <w:r w:rsidR="00370EFC">
        <w:instrText>ADDIN CSL_CITATION { "citationItems" : [ { "id" : "ITEM-1",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"ITEM-1", "issue" : "6", "issued" : { "date-parts" : [ [ "2011" ] ] }, "page" : "851-864", "title" : "Multi-scale environmental heterogeneity as a predictor of plant species richness", "type" : "article-journal", "volume" : "26" }, "uris" : [ "http://www.mendeley.com/documents/?uuid=e8c6f280-5125-43e1-9b0e-6445a5ecec10" ] }, { "id" : "ITEM-2",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"ITEM-2",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9F65E7">
        <w:fldChar w:fldCharType="separate"/>
      </w:r>
      <w:r w:rsidR="00370EFC" w:rsidRPr="00370EFC">
        <w:rPr>
          <w:noProof/>
        </w:rPr>
        <w:t>(Costanza, Moody &amp; Peet 2011; Stein, Gerstner &amp; Kreft 2014)</w:t>
      </w:r>
      <w:r w:rsidR="009F65E7">
        <w:fldChar w:fldCharType="end"/>
      </w:r>
      <w:r>
        <w:t xml:space="preserve">. According to classical niche-based theories of species co-existence e.g. </w:t>
      </w:r>
      <w:r w:rsidR="009F65E7">
        <w:fldChar w:fldCharType="begin" w:fldLock="1"/>
      </w:r>
      <w:r w:rsidR="009F65E7">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9F65E7">
        <w:fldChar w:fldCharType="separate"/>
      </w:r>
      <w:r w:rsidR="009F65E7" w:rsidRPr="009F65E7">
        <w:rPr>
          <w:noProof/>
        </w:rPr>
        <w:t>(Chesson 2000)</w:t>
      </w:r>
      <w:r w:rsidR="009F65E7">
        <w:fldChar w:fldCharType="end"/>
      </w:r>
      <w:r>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trait-space: niches and their interrelationships are described by patterns of clustering of functional traits (any morphological, physiological or phenological feature measurable at the individual level </w:t>
      </w:r>
      <w:r w:rsidR="009F65E7">
        <w:fldChar w:fldCharType="begin" w:fldLock="1"/>
      </w:r>
      <w:r w:rsidR="003B2691">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9F65E7">
        <w:fldChar w:fldCharType="separate"/>
      </w:r>
      <w:r w:rsidR="00370EFC" w:rsidRPr="00370EFC">
        <w:rPr>
          <w:noProof/>
        </w:rPr>
        <w:t xml:space="preserve">(Violle </w:t>
      </w:r>
      <w:r w:rsidR="00370EFC" w:rsidRPr="00370EFC">
        <w:rPr>
          <w:i/>
          <w:noProof/>
        </w:rPr>
        <w:t>et al.</w:t>
      </w:r>
      <w:r w:rsidR="00370EFC" w:rsidRPr="00370EFC">
        <w:rPr>
          <w:noProof/>
        </w:rPr>
        <w:t xml:space="preserve"> 2007</w:t>
      </w:r>
      <w:r w:rsidR="009F65E7">
        <w:fldChar w:fldCharType="end"/>
      </w:r>
      <w:r>
        <w:t>), the values of which are optimised to a given set of environmental conditions</w:t>
      </w:r>
      <w:r w:rsidR="009F65E7">
        <w:t xml:space="preserve"> </w:t>
      </w:r>
      <w:r w:rsidR="009F65E7">
        <w:fldChar w:fldCharType="begin" w:fldLock="1"/>
      </w:r>
      <w:r w:rsidR="00370EFC">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9F65E7">
        <w:fldChar w:fldCharType="separate"/>
      </w:r>
      <w:r w:rsidR="00370EFC" w:rsidRPr="00370EFC">
        <w:rPr>
          <w:noProof/>
        </w:rPr>
        <w:t xml:space="preserve">(Adler </w:t>
      </w:r>
      <w:r w:rsidR="00370EFC" w:rsidRPr="00370EFC">
        <w:rPr>
          <w:i/>
          <w:noProof/>
        </w:rPr>
        <w:t>et al.</w:t>
      </w:r>
      <w:r w:rsidR="00370EFC" w:rsidRPr="00370EFC">
        <w:rPr>
          <w:noProof/>
        </w:rPr>
        <w:t xml:space="preserve"> 2013)</w:t>
      </w:r>
      <w:r w:rsidR="009F65E7">
        <w:fldChar w:fldCharType="end"/>
      </w:r>
      <w:r w:rsidR="009F65E7">
        <w:t>.</w:t>
      </w:r>
      <w:r>
        <w:t xml:space="preserve"> Thus the distribution of functional traits within a community can be expected to be patterned by the degree of heterogeneity in environmental conditions present. Describing communities in trait</w:t>
      </w:r>
      <w:r w:rsidR="001057C7">
        <w:t xml:space="preserve"> </w:t>
      </w:r>
      <w:r>
        <w:t>space dissolves species distinctions and emphasises ecological strategies: what species do within their community and how they do it. In turn, metrics of diversity derived from functional traits provide a useful complement to taxonomic diversity metrics, as they allow a mechanistic characterisation of biodiversity-ecosystem functioning relatio</w:t>
      </w:r>
      <w:r w:rsidR="009F65E7">
        <w:t xml:space="preserve">nships </w:t>
      </w:r>
      <w:r w:rsidR="002B2324">
        <w:fldChar w:fldCharType="begin" w:fldLock="1"/>
      </w:r>
      <w:r w:rsidR="00370EFC">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2B2324">
        <w:fldChar w:fldCharType="separate"/>
      </w:r>
      <w:r w:rsidR="00370EFC" w:rsidRPr="00370EFC">
        <w:rPr>
          <w:noProof/>
        </w:rPr>
        <w:t>(Hillebrand &amp; Matthiessen 2009)</w:t>
      </w:r>
      <w:r w:rsidR="002B2324">
        <w:fldChar w:fldCharType="end"/>
      </w:r>
      <w:r w:rsidR="009F65E7">
        <w:t xml:space="preserve">. </w:t>
      </w:r>
    </w:p>
    <w:p w14:paraId="58C72B6C" w14:textId="725788C2" w:rsidR="002014BF" w:rsidRDefault="002014BF" w:rsidP="00FF6B5C">
      <w:pPr>
        <w:spacing w:line="360" w:lineRule="auto"/>
        <w:jc w:val="both"/>
      </w:pPr>
      <w:r>
        <w:t>Much of the riparian ecology literature identifies hydrology and geomorphology as the dominant abiotic force structuring riparian ecosystems</w:t>
      </w:r>
      <w:r w:rsidR="002B2324">
        <w:t xml:space="preserve"> </w:t>
      </w:r>
      <w:r w:rsidR="002B2324">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002B2324">
        <w:fldChar w:fldCharType="separate"/>
      </w:r>
      <w:r w:rsidR="00370EFC" w:rsidRPr="00370EFC">
        <w:rPr>
          <w:noProof/>
        </w:rPr>
        <w:t>(Poff, Allan &amp; Bain 1997; Bendix &amp; Hupp 2000)</w:t>
      </w:r>
      <w:r w:rsidR="002B2324">
        <w:fldChar w:fldCharType="end"/>
      </w:r>
      <w:r w:rsidR="002B2324">
        <w:t>.</w:t>
      </w:r>
      <w:r>
        <w:t xml:space="preserve"> The spatial and temporal heterogeneity inherent in fluvial processes is considered largely responsible for the complex biogeomorphology of riparian environments</w:t>
      </w:r>
      <w:r w:rsidR="002B2324">
        <w:t xml:space="preserve"> </w:t>
      </w:r>
      <w:r w:rsidR="002B2324">
        <w:fldChar w:fldCharType="begin" w:fldLock="1"/>
      </w:r>
      <w:r w:rsidR="00370EFC">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2B2324">
        <w:fldChar w:fldCharType="separate"/>
      </w:r>
      <w:r w:rsidR="00370EFC" w:rsidRPr="00370EFC">
        <w:rPr>
          <w:noProof/>
        </w:rPr>
        <w:t xml:space="preserve">(Naiman </w:t>
      </w:r>
      <w:r w:rsidR="00370EFC" w:rsidRPr="00370EFC">
        <w:rPr>
          <w:i/>
          <w:noProof/>
        </w:rPr>
        <w:t>et al.</w:t>
      </w:r>
      <w:r w:rsidR="00370EFC" w:rsidRPr="00370EFC">
        <w:rPr>
          <w:noProof/>
        </w:rPr>
        <w:t xml:space="preserve"> 2005; Corenblit </w:t>
      </w:r>
      <w:r w:rsidR="00370EFC" w:rsidRPr="00370EFC">
        <w:rPr>
          <w:i/>
          <w:noProof/>
        </w:rPr>
        <w:t>et al.</w:t>
      </w:r>
      <w:r w:rsidR="00370EFC" w:rsidRPr="00370EFC">
        <w:rPr>
          <w:noProof/>
        </w:rPr>
        <w:t xml:space="preserve"> 2007)</w:t>
      </w:r>
      <w:r w:rsidR="002B2324">
        <w:fldChar w:fldCharType="end"/>
      </w:r>
      <w:r>
        <w:t xml:space="preserve">. Sediments are scoured and deposited, some plants are washed away while others are watered; organic matter and woody debris moves through the system and propagules are dispersed; large flood events have been shown to produce substantial 'heterogeneous imprints' on the fluvial </w:t>
      </w:r>
      <w:r>
        <w:lastRenderedPageBreak/>
        <w:t xml:space="preserve">landscape </w:t>
      </w:r>
      <w:r w:rsidR="002B2324">
        <w:fldChar w:fldCharType="begin" w:fldLock="1"/>
      </w:r>
      <w:r w:rsidR="00370EFC">
        <w:instrText>ADDIN CSL_CITATION { "citationItems" : [ { "id" : "ITEM-1", "itemData" : { "DOI" : "10.1890/1540-9295(2005)003[0487:TEOEFO]2.0.CO;2", "ISBN" : "1540-9295", "ISSN" : "15409295", "abstract" : "Studies of large infrequent disturbances, such as the Mount St Helens volcanic eruption, the 1988 Yellowstone National Park fires, and Hurricane Hugo, show that such events leave a heterogeneous imprint on a landscape, and that this imprint subsequently influences ecological response. But what imprint does a large infrequent flood disturbance leave on a river landscape, and how does the imprint influence river ecosystem response to disturbance? We used a landscape ecological framework to examine the associations between the imprint of an extreme flood and the response of woody riparian vegetation in the Sabie River (Kruger National Park, South Africa) landscape. We found that the flood left a heterogeneous imprint, consisting of remnant vegetated patches, remnant physical patches, and newly created physical patches. The structure and composition of riparian vegetation assemblages subsequently differed among these patches. Heterogeneity of the river landscape mosaic may result in multiple trajectories of ecological response to the flood, with important consequences for biodiversity conservation in Kruger National Park.", "author" : [ { "dropping-particle" : "", "family" : "Parsons", "given" : "Melissa", "non-dropping-particle" : "", "parse-names" : false, "suffix" : "" }, { "dropping-particle" : "", "family" : "McLoughlin", "given" : "Craig A.", "non-dropping-particle" : "", "parse-names" : false, "suffix" : "" }, { "dropping-particle" : "", "family" : "Kotschy", "given" : "Karen A.", "non-dropping-particle" : "", "parse-names" : false, "suffix" : "" }, { "dropping-particle" : "", "family" : "Rogers", "given" : "Kevin H.", "non-dropping-particle" : "", "parse-names" : false, "suffix" : "" }, { "dropping-particle" : "", "family" : "Rountree", "given" : "Mark W.", "non-dropping-particle" : "", "parse-names" : false, "suffix" : "" } ], "container-title" : "Frontiers in Ecology and the Environment", "id" : "ITEM-1", "issue" : "9", "issued" : { "date-parts" : [ [ "2005" ] ] }, "page" : "487-494", "title" : "The effects of extreme floods on the biophysical heterogeneity of river landscapes", "type" : "article", "volume" : "3" }, "uris" : [ "http://www.mendeley.com/documents/?uuid=0a3fc662-cd04-4d33-acd3-8a33687453c1" ] } ], "mendeley" : { "formattedCitation" : "(Parsons &lt;i&gt;et al.&lt;/i&gt; 2005)", "plainTextFormattedCitation" : "(Parsons et al. 2005)", "previouslyFormattedCitation" : "(Parsons &lt;i&gt;et al.&lt;/i&gt; 2005)" }, "properties" : { "noteIndex" : 0 }, "schema" : "https://github.com/citation-style-language/schema/raw/master/csl-citation.json" }</w:instrText>
      </w:r>
      <w:r w:rsidR="002B2324">
        <w:fldChar w:fldCharType="separate"/>
      </w:r>
      <w:r w:rsidR="00370EFC" w:rsidRPr="00370EFC">
        <w:rPr>
          <w:noProof/>
        </w:rPr>
        <w:t xml:space="preserve">(Parsons </w:t>
      </w:r>
      <w:r w:rsidR="00370EFC" w:rsidRPr="00370EFC">
        <w:rPr>
          <w:i/>
          <w:noProof/>
        </w:rPr>
        <w:t>et al.</w:t>
      </w:r>
      <w:r w:rsidR="00370EFC" w:rsidRPr="00370EFC">
        <w:rPr>
          <w:noProof/>
        </w:rPr>
        <w:t xml:space="preserve"> 2005)</w:t>
      </w:r>
      <w:r w:rsidR="002B2324">
        <w:fldChar w:fldCharType="end"/>
      </w:r>
      <w:r w:rsidR="002B2324">
        <w:t xml:space="preserve">. </w:t>
      </w:r>
      <w:r>
        <w:t>The spatial distribution of these processes within the fluvial landscape is contingent on the magnitude and frequency of the flow events that drive erosion and deposition processes, and the resultant morphology and sedimentology of fluvial landforms produced</w:t>
      </w:r>
      <w:r w:rsidR="002B2324">
        <w:t xml:space="preserve"> </w:t>
      </w:r>
      <w:r w:rsidR="002B2324">
        <w:fldChar w:fldCharType="begin" w:fldLock="1"/>
      </w:r>
      <w:r w:rsidR="00370EFC">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B2324">
        <w:fldChar w:fldCharType="separate"/>
      </w:r>
      <w:r w:rsidR="00370EFC" w:rsidRPr="00370EFC">
        <w:rPr>
          <w:noProof/>
        </w:rPr>
        <w:t>(Fryirs &amp; Brierley 2012)</w:t>
      </w:r>
      <w:r w:rsidR="002B2324">
        <w:fldChar w:fldCharType="end"/>
      </w:r>
      <w:r>
        <w:t>. This subsequently determines the extent to which different surfaces/landforms are inundated under a range of different flow conditions</w:t>
      </w:r>
      <w:r w:rsidR="002B2324">
        <w:t xml:space="preserve"> </w:t>
      </w:r>
      <w:r w:rsidR="002B2324">
        <w:fldChar w:fldCharType="begin" w:fldLock="1"/>
      </w:r>
      <w:r w:rsidR="002B2324">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B2324">
        <w:fldChar w:fldCharType="separate"/>
      </w:r>
      <w:r w:rsidR="002B2324" w:rsidRPr="002B2324">
        <w:rPr>
          <w:noProof/>
        </w:rPr>
        <w:t>(Hughes 1997)</w:t>
      </w:r>
      <w:r w:rsidR="002B2324">
        <w:fldChar w:fldCharType="end"/>
      </w:r>
      <w:r>
        <w:t xml:space="preserve">. Temporal variability in flooding patterns adds a further layer of complexity by influencing the success of plant ecological strategies for a given patch. More frequently flooded patches are likely to support graminoids and rheophytes, while succession is likely to proceed further on patches which are less frequently disturbed </w:t>
      </w:r>
      <w:r w:rsidR="002B2324">
        <w:fldChar w:fldCharType="begin" w:fldLock="1"/>
      </w:r>
      <w:r w:rsidR="00370EF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2B2324">
        <w:fldChar w:fldCharType="separate"/>
      </w:r>
      <w:r w:rsidR="00370EFC" w:rsidRPr="00370EFC">
        <w:rPr>
          <w:noProof/>
        </w:rPr>
        <w:t xml:space="preserve">(Corenblit </w:t>
      </w:r>
      <w:r w:rsidR="00370EFC" w:rsidRPr="00370EFC">
        <w:rPr>
          <w:i/>
          <w:noProof/>
        </w:rPr>
        <w:t>et al.</w:t>
      </w:r>
      <w:r w:rsidR="00370EFC" w:rsidRPr="00370EFC">
        <w:rPr>
          <w:noProof/>
        </w:rPr>
        <w:t xml:space="preserve"> 2009)</w:t>
      </w:r>
      <w:r w:rsidR="002B2324">
        <w:fldChar w:fldCharType="end"/>
      </w:r>
      <w:r>
        <w:t xml:space="preserve">. Soil moisture conditions are also strongly driven by hydrology in riparian environments, with further implications for plant community assembly </w:t>
      </w:r>
      <w:r w:rsidR="002B2324">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2B2324">
        <w:fldChar w:fldCharType="separate"/>
      </w:r>
      <w:r w:rsidR="00370EFC" w:rsidRPr="00370EFC">
        <w:rPr>
          <w:noProof/>
        </w:rPr>
        <w:t>(Nilsson &amp; Svedmark 2002)</w:t>
      </w:r>
      <w:r w:rsidR="002B2324">
        <w:fldChar w:fldCharType="end"/>
      </w:r>
      <w:r w:rsidR="002B2324">
        <w:t>.</w:t>
      </w:r>
      <w:r w:rsidR="009F65E7">
        <w:t xml:space="preserve"> </w:t>
      </w:r>
    </w:p>
    <w:p w14:paraId="6BD9A2FA" w14:textId="56F1C0FA" w:rsidR="002014BF" w:rsidRDefault="002014BF" w:rsidP="00FF6B5C">
      <w:pPr>
        <w:spacing w:line="360" w:lineRule="auto"/>
        <w:jc w:val="both"/>
      </w:pPr>
      <w:r>
        <w:t xml:space="preserve">Intermediate disturbance-type unimodal relationships between fluvial disturbance and species richness are commonly described, e.g. </w:t>
      </w:r>
      <w:r w:rsidR="002B2324">
        <w:fldChar w:fldCharType="begin" w:fldLock="1"/>
      </w:r>
      <w:r w:rsidR="00370EFC">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"ITEM-5", "itemData" : { "DOI" : "10.2307/176867", "ISBN" : "0012-9658", "ISSN" : "0012-9658", "PMID" : "9668990", "abstract" : "In this study, flood frequency, productivity, and spatial heterogeneity were correlated with plant species richness (SR) among wetlands on a coastal island in southeast Alaska. Studies of 16 sites in or near the Kadashan River basin demonstrated nonlinear, unimodal relations between flood frequency and SR, productivity and SR, and linear relations between SR and the spatial variation of flood frequencies (SVFF) within a site. SVFF is caused by microtopographic variation in elevation. A nonlinear regression model relating SR to flood frequency and SVFF explained much of the variation in SR between wetland communities. Sites with intermediate flood frequencies and high SVFF were species-rich, while sites frequently, rarely, or permanently flooded and with low SVFF were species-poor. The data suggest that small-scale spatial variation can dramatically alter the impact of disturbances.The data also support Michael Huston&amp;#8217;s dynamic-equilibrium model of species diversity, which predicts the effects of productivity and disturbance on diversity patterns. Species-rich sites had low to intermediate levels of productivity and intermediate flood frequencies, and species-poor sites had very low or high flood frequencies and low productivity, supporting the model&amp;#8217;s predictions. The model was tested at contrasting spatial scales (1000 m2 and 1 m2). At the 1000-m2 scale, Huston&amp;#8217;s model predicted 78&amp;#37; of the variation in SR. At the microplot scale, relationships between SR and flood frequency were weaker, and the dynamic-equilibrium model predicted only 36&amp;#37; of the variation in SR.", "author" : [ { "dropping-particle" : "", "family" : "Pollock", "given" : "Michael M", "non-dropping-particle" : "", "parse-names" : false, "suffix" : "" }, { "dropping-particle" : "", "family" : "Naiman", "given" : "Robert J", "non-dropping-particle" : "", "parse-names" : false, "suffix" : "" }, { "dropping-particle" : "", "family" : "Hanley", "given" : "Thomas a", "non-dropping-particle" : "", "parse-names" : false, "suffix" : "" } ], "container-title" : "Ecology", "id" : "ITEM-5", "issue" : "1", "issued" : { "date-parts" : [ [ "1998" ] ] }, "page" : "94-105", "title" : "Plant species richness in riparian wetlands - a test of biodiversity theory.", "type" : "article-journal", "volume" : "79" }, "uris" : [ "http://www.mendeley.com/documents/?uuid=20db0c1d-3de8-43f1-bd48-a9ac9885790e" ] } ], "mendeley" : { "formattedCitation" : "(Bendix 1997; Pollock, Naiman &amp; Hanley 1998; Bendix &amp; Hupp 2000; Lite, Bagstad &amp; Stromberg 2005; Corenblit &lt;i&gt;et al.&lt;/i&gt; 2007)", "manualFormatting" : "Bendix (1997), Pollock et al. (1998), Bendix and Hupp (2000), Lite et al. (2005), Corenblit et al. (2007)", "plainTextFormattedCitation" : "(Bendix 1997; Pollock, Naiman &amp; Hanley 1998; Bendix &amp; Hupp 2000; Lite, Bagstad &amp; Stromberg 2005; Corenblit et al. 2007)", "previouslyFormattedCitation" : "(Bendix 1997; Pollock, Naiman &amp; Hanley 1998; Bendix &amp; Hupp 2000; Lite, Bagstad &amp; Stromberg 2005; Corenblit &lt;i&gt;et al.&lt;/i&gt; 2007)" }, "properties" : { "noteIndex" : 0 }, "schema" : "https://github.com/citation-style-language/schema/raw/master/csl-citation.json" }</w:instrText>
      </w:r>
      <w:r w:rsidR="002B2324">
        <w:fldChar w:fldCharType="separate"/>
      </w:r>
      <w:r w:rsidR="002B2324" w:rsidRPr="002B2324">
        <w:rPr>
          <w:noProof/>
        </w:rPr>
        <w:t xml:space="preserve">Bendix </w:t>
      </w:r>
      <w:r w:rsidR="002B2324">
        <w:rPr>
          <w:noProof/>
        </w:rPr>
        <w:t>(</w:t>
      </w:r>
      <w:r w:rsidR="002B2324" w:rsidRPr="002B2324">
        <w:rPr>
          <w:noProof/>
        </w:rPr>
        <w:t>1997</w:t>
      </w:r>
      <w:r w:rsidR="002B2324">
        <w:rPr>
          <w:noProof/>
        </w:rPr>
        <w:t>),</w:t>
      </w:r>
      <w:r w:rsidR="002B2324" w:rsidRPr="002B2324">
        <w:rPr>
          <w:noProof/>
        </w:rPr>
        <w:t xml:space="preserve"> Pollock et al. </w:t>
      </w:r>
      <w:r w:rsidR="002B2324">
        <w:rPr>
          <w:noProof/>
        </w:rPr>
        <w:t>(</w:t>
      </w:r>
      <w:r w:rsidR="002B2324" w:rsidRPr="002B2324">
        <w:rPr>
          <w:noProof/>
        </w:rPr>
        <w:t>1998</w:t>
      </w:r>
      <w:r w:rsidR="002B2324">
        <w:rPr>
          <w:noProof/>
        </w:rPr>
        <w:t>),</w:t>
      </w:r>
      <w:r w:rsidR="002B2324" w:rsidRPr="002B2324">
        <w:rPr>
          <w:noProof/>
        </w:rPr>
        <w:t xml:space="preserve"> Bendix and Hupp </w:t>
      </w:r>
      <w:r w:rsidR="002B2324">
        <w:rPr>
          <w:noProof/>
        </w:rPr>
        <w:t>(</w:t>
      </w:r>
      <w:r w:rsidR="002B2324" w:rsidRPr="002B2324">
        <w:rPr>
          <w:noProof/>
        </w:rPr>
        <w:t>2000</w:t>
      </w:r>
      <w:r w:rsidR="002B2324">
        <w:rPr>
          <w:noProof/>
        </w:rPr>
        <w:t>),</w:t>
      </w:r>
      <w:r w:rsidR="002B2324" w:rsidRPr="002B2324">
        <w:rPr>
          <w:noProof/>
        </w:rPr>
        <w:t xml:space="preserve"> Lite et al. </w:t>
      </w:r>
      <w:r w:rsidR="002B2324">
        <w:rPr>
          <w:noProof/>
        </w:rPr>
        <w:t>(</w:t>
      </w:r>
      <w:r w:rsidR="002B2324" w:rsidRPr="002B2324">
        <w:rPr>
          <w:noProof/>
        </w:rPr>
        <w:t>2005</w:t>
      </w:r>
      <w:r w:rsidR="002B2324">
        <w:rPr>
          <w:noProof/>
        </w:rPr>
        <w:t xml:space="preserve">), </w:t>
      </w:r>
      <w:r w:rsidR="002B2324" w:rsidRPr="002B2324">
        <w:rPr>
          <w:noProof/>
        </w:rPr>
        <w:t xml:space="preserve">Corenblit et al. </w:t>
      </w:r>
      <w:r w:rsidR="002B2324">
        <w:rPr>
          <w:noProof/>
        </w:rPr>
        <w:t>(</w:t>
      </w:r>
      <w:r w:rsidR="002B2324" w:rsidRPr="002B2324">
        <w:rPr>
          <w:noProof/>
        </w:rPr>
        <w:t>2007)</w:t>
      </w:r>
      <w:r w:rsidR="002B2324">
        <w:fldChar w:fldCharType="end"/>
      </w:r>
      <w:r w:rsidR="002B2324">
        <w:t>.</w:t>
      </w:r>
      <w:r>
        <w:t xml:space="preserve"> Unimodal relationships between environmental heterogeneity and diversity are also hypothesised to occur as a result of ‘microfragmentation’ at high levels of heterogeneity </w:t>
      </w:r>
      <w:r w:rsidR="002B2324">
        <w:fldChar w:fldCharType="begin" w:fldLock="1"/>
      </w:r>
      <w:r w:rsidR="00370EFC">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2B2324">
        <w:fldChar w:fldCharType="separate"/>
      </w:r>
      <w:r w:rsidR="00370EFC" w:rsidRPr="00370EFC">
        <w:rPr>
          <w:noProof/>
        </w:rPr>
        <w:t xml:space="preserve">(Tamme </w:t>
      </w:r>
      <w:r w:rsidR="00370EFC" w:rsidRPr="00370EFC">
        <w:rPr>
          <w:i/>
          <w:noProof/>
        </w:rPr>
        <w:t>et al.</w:t>
      </w:r>
      <w:r w:rsidR="00370EFC" w:rsidRPr="00370EFC">
        <w:rPr>
          <w:noProof/>
        </w:rPr>
        <w:t xml:space="preserve"> 2010)</w:t>
      </w:r>
      <w:r w:rsidR="002B2324">
        <w:fldChar w:fldCharType="end"/>
      </w:r>
      <w:r>
        <w:t xml:space="preserve">. Previous work on riparian plant communities has shown strong positive links between functional trait diversity and flow heterogeneity </w:t>
      </w:r>
      <w:r w:rsidR="002B2324">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2B2324">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2B2324">
        <w:fldChar w:fldCharType="end"/>
      </w:r>
      <w:r>
        <w:t>: relationships between functional dispersion and metrics of flow variability were mostly monotonic, with the exception of interannual variability in summertime flows, which showed a u</w:t>
      </w:r>
      <w:r w:rsidR="009F65E7">
        <w:t>nimodal relationship.</w:t>
      </w:r>
    </w:p>
    <w:p w14:paraId="174E3B5F" w14:textId="470E250F" w:rsidR="009F65E7" w:rsidRDefault="002014BF" w:rsidP="00FF6B5C">
      <w:pPr>
        <w:spacing w:line="360" w:lineRule="auto"/>
        <w:jc w:val="both"/>
      </w:pPr>
      <w:r>
        <w:t>Over half the world’s large river systems and countless smaller watercourses are affected by dams, weirs and diversions</w:t>
      </w:r>
      <w:r w:rsidR="002B2324">
        <w:t xml:space="preserve"> </w:t>
      </w:r>
      <w:r w:rsidR="002B2324">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2B2324">
        <w:fldChar w:fldCharType="separate"/>
      </w:r>
      <w:r w:rsidR="00370EFC" w:rsidRPr="00370EFC">
        <w:rPr>
          <w:noProof/>
        </w:rPr>
        <w:t xml:space="preserve">(Nilsson &amp; Berggren 2000; Nilsson </w:t>
      </w:r>
      <w:r w:rsidR="00370EFC" w:rsidRPr="00370EFC">
        <w:rPr>
          <w:i/>
          <w:noProof/>
        </w:rPr>
        <w:t>et al.</w:t>
      </w:r>
      <w:r w:rsidR="00370EFC" w:rsidRPr="00370EFC">
        <w:rPr>
          <w:noProof/>
        </w:rPr>
        <w:t xml:space="preserve"> 2005)</w:t>
      </w:r>
      <w:r w:rsidR="002B2324">
        <w:fldChar w:fldCharType="end"/>
      </w:r>
      <w:r>
        <w:t xml:space="preserve">. While the effects of individual dams tend to be idiosyncratic </w:t>
      </w:r>
      <w:r w:rsidR="002B2324">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2B2324">
        <w:fldChar w:fldCharType="separate"/>
      </w:r>
      <w:r w:rsidR="00370EFC" w:rsidRPr="00370EFC">
        <w:rPr>
          <w:noProof/>
        </w:rPr>
        <w:t>(Mackay, Arthington &amp; James 2014)</w:t>
      </w:r>
      <w:r w:rsidR="002B2324">
        <w:fldChar w:fldCharType="end"/>
      </w:r>
      <w:r w:rsidR="002B2324">
        <w:t>,</w:t>
      </w:r>
      <w:r>
        <w:t xml:space="preserve"> flow regulation typically homogenises hydrographs by removing small-moderate flows, reducing flood peaks, altering seasonality and increasing predictability of flows</w:t>
      </w:r>
      <w:r w:rsidR="002B2324">
        <w:t xml:space="preserve"> </w:t>
      </w:r>
      <w:r w:rsidR="002B2324">
        <w:fldChar w:fldCharType="begin" w:fldLock="1"/>
      </w:r>
      <w:r w:rsidR="00370EF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"id" : "ITEM-3", "itemData" : { "author" : [ { "dropping-particle" : "", "family" : "Poff", "given" : "N LeRoy", "non-dropping-particle" : "", "parse-names" : false, "suffix" : "" }, { "dropping-particle" : "", "family" : "Olden", "given" : "Julian D", "non-dropping-particle" : "", "parse-names" : false, "suffix" : "" }, { "dropping-particle" : "", "family" : "Merritt", "given" : "David M", "non-dropping-particle" : "", "parse-names" : false, "suffix" : "" }, { "dropping-particle" : "", "family" : "Pepin", "given" : "David M", "non-dropping-particle" : "", "parse-names" : false, "suffix" : "" } ], "container-title" : "Proceedings of the National Academy of Sciences", "id" : "ITEM-3", "issue" : "14", "issued" : { "date-parts" : [ [ "2007" ] ] }, "page" : "5732-5737", "publisher" : "National Acad Sciences", "title" : "Homogenization of regional river dynamics by dams and global biodiversity implications", "type" : "article-journal", "volume" : "104" }, "uris" : [ "http://www.mendeley.com/documents/?uuid=b3d24f40-00d8-46a9-8a1c-e48386984934" ] } ], "mendeley" : { "formattedCitation" : "(Graf 2006; Poff &lt;i&gt;et al.&lt;/i&gt; 2007; Singer 2007)", "plainTextFormattedCitation" : "(Graf 2006; Poff et al. 2007; Singer 2007)", "previouslyFormattedCitation" : "(Graf 2006; Poff &lt;i&gt;et al.&lt;/i&gt; 2007; Singer 2007)" }, "properties" : { "noteIndex" : 0 }, "schema" : "https://github.com/citation-style-language/schema/raw/master/csl-citation.json" }</w:instrText>
      </w:r>
      <w:r w:rsidR="002B2324">
        <w:fldChar w:fldCharType="separate"/>
      </w:r>
      <w:r w:rsidR="00370EFC" w:rsidRPr="00370EFC">
        <w:rPr>
          <w:noProof/>
        </w:rPr>
        <w:t xml:space="preserve">(Graf 2006; Poff </w:t>
      </w:r>
      <w:r w:rsidR="00370EFC" w:rsidRPr="00370EFC">
        <w:rPr>
          <w:i/>
          <w:noProof/>
        </w:rPr>
        <w:t>et al.</w:t>
      </w:r>
      <w:r w:rsidR="00370EFC" w:rsidRPr="00370EFC">
        <w:rPr>
          <w:noProof/>
        </w:rPr>
        <w:t xml:space="preserve"> 2007; Singer 2007)</w:t>
      </w:r>
      <w:r w:rsidR="002B2324">
        <w:fldChar w:fldCharType="end"/>
      </w:r>
      <w:r>
        <w:t>. Depending on the magnitude and form of change to the flow regime, flow modification may result in reduced niche complexity in downstream riparian zones</w:t>
      </w:r>
      <w:r w:rsidR="002B2324">
        <w:t xml:space="preserve"> </w:t>
      </w:r>
      <w:r w:rsidR="002B2324">
        <w:fldChar w:fldCharType="begin" w:fldLock="1"/>
      </w:r>
      <w:r w:rsidR="00370EFC">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2B2324">
        <w:fldChar w:fldCharType="separate"/>
      </w:r>
      <w:r w:rsidR="00370EFC" w:rsidRPr="00370EFC">
        <w:rPr>
          <w:noProof/>
        </w:rPr>
        <w:t xml:space="preserve">(Lloyd </w:t>
      </w:r>
      <w:r w:rsidR="00370EFC" w:rsidRPr="00370EFC">
        <w:rPr>
          <w:i/>
          <w:noProof/>
        </w:rPr>
        <w:t>et al.</w:t>
      </w:r>
      <w:r w:rsidR="00370EFC" w:rsidRPr="00370EFC">
        <w:rPr>
          <w:noProof/>
        </w:rPr>
        <w:t xml:space="preserve"> 2004)</w:t>
      </w:r>
      <w:r w:rsidR="002B2324">
        <w:fldChar w:fldCharType="end"/>
      </w:r>
      <w:r>
        <w:t xml:space="preserve">. In a recent comprehensive review of ecological responses to flow modification, </w:t>
      </w:r>
      <w:r w:rsidR="002B2324">
        <w:fldChar w:fldCharType="begin" w:fldLock="1"/>
      </w:r>
      <w:r w:rsidR="003B2691">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 xml:space="preserve">Poff &amp; Zimmerman </w:t>
      </w:r>
      <w:r w:rsidR="00FB54D8">
        <w:rPr>
          <w:noProof/>
        </w:rPr>
        <w:t>(</w:t>
      </w:r>
      <w:r w:rsidR="00370EFC" w:rsidRPr="00370EFC">
        <w:rPr>
          <w:noProof/>
        </w:rPr>
        <w:t>2010)</w:t>
      </w:r>
      <w:r w:rsidR="002B2324">
        <w:fldChar w:fldCharType="end"/>
      </w:r>
      <w:r w:rsidR="002B2324">
        <w:t xml:space="preserve"> </w:t>
      </w:r>
      <w:r>
        <w:t>found that 152 out of 165 studies reported decreased values for recorded ecological metrics. Invasion by exotic plants in response to flood reduction often results in extensive shifts in riparian plant assemblages and reduction of both taxonomic and functional diversity</w:t>
      </w:r>
      <w:r w:rsidR="002B2324">
        <w:t xml:space="preserve"> </w:t>
      </w:r>
      <w:r w:rsidR="002B2324">
        <w:fldChar w:fldCharType="begin" w:fldLock="1"/>
      </w:r>
      <w:r w:rsidR="00370EFC">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2B2324">
        <w:fldChar w:fldCharType="separate"/>
      </w:r>
      <w:r w:rsidR="00370EFC" w:rsidRPr="00370EFC">
        <w:rPr>
          <w:noProof/>
        </w:rPr>
        <w:t xml:space="preserve">(Stokes 2008; Merritt &amp; Poff 2010; Catford </w:t>
      </w:r>
      <w:r w:rsidR="00370EFC" w:rsidRPr="00370EFC">
        <w:rPr>
          <w:i/>
          <w:noProof/>
        </w:rPr>
        <w:t>et al.</w:t>
      </w:r>
      <w:r w:rsidR="00370EFC" w:rsidRPr="00370EFC">
        <w:rPr>
          <w:noProof/>
        </w:rPr>
        <w:t xml:space="preserve"> 2011)</w:t>
      </w:r>
      <w:r w:rsidR="002B2324">
        <w:fldChar w:fldCharType="end"/>
      </w:r>
      <w:r>
        <w:t>. Terrestrialisation of riparian plant communities has also been described as a response to flood reduction</w:t>
      </w:r>
      <w:r w:rsidR="002B2324">
        <w:t xml:space="preserve">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t xml:space="preserve">. </w:t>
      </w:r>
    </w:p>
    <w:p w14:paraId="2F486A61" w14:textId="2266D055" w:rsidR="002014BF" w:rsidRDefault="002014BF" w:rsidP="00FF6B5C">
      <w:pPr>
        <w:spacing w:line="360" w:lineRule="auto"/>
        <w:jc w:val="both"/>
      </w:pPr>
      <w:r>
        <w:lastRenderedPageBreak/>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002B2324">
        <w:fldChar w:fldCharType="begin" w:fldLock="1"/>
      </w:r>
      <w:r w:rsidR="00370EFC">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002B2324">
        <w:fldChar w:fldCharType="separate"/>
      </w:r>
      <w:r w:rsidR="00370EFC" w:rsidRPr="00370EFC">
        <w:rPr>
          <w:noProof/>
        </w:rPr>
        <w:t xml:space="preserve">(Vitousek </w:t>
      </w:r>
      <w:r w:rsidR="00370EFC" w:rsidRPr="00370EFC">
        <w:rPr>
          <w:i/>
          <w:noProof/>
        </w:rPr>
        <w:t>et al.</w:t>
      </w:r>
      <w:r w:rsidR="00370EFC" w:rsidRPr="00370EFC">
        <w:rPr>
          <w:noProof/>
        </w:rPr>
        <w:t xml:space="preserve"> 1997; Gerstner </w:t>
      </w:r>
      <w:r w:rsidR="00370EFC" w:rsidRPr="00370EFC">
        <w:rPr>
          <w:i/>
          <w:noProof/>
        </w:rPr>
        <w:t>et al.</w:t>
      </w:r>
      <w:r w:rsidR="00370EFC" w:rsidRPr="00370EFC">
        <w:rPr>
          <w:noProof/>
        </w:rPr>
        <w:t xml:space="preserve"> 2014)</w:t>
      </w:r>
      <w:r w:rsidR="002B2324">
        <w:fldChar w:fldCharType="end"/>
      </w:r>
      <w:r>
        <w:t>. A recent multi-biome meta-analysis found that land-use intensification was associated with diminished functional redundancy and ability to respond to distu</w:t>
      </w:r>
      <w:r w:rsidR="009F65E7">
        <w:t xml:space="preserve">rbance </w:t>
      </w:r>
      <w:r w:rsidR="002B2324">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324">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2B2324">
        <w:fldChar w:fldCharType="end"/>
      </w:r>
      <w:r w:rsidR="002B2324">
        <w:t>.</w:t>
      </w:r>
      <w:r w:rsidR="009F65E7">
        <w:t xml:space="preserve"> </w:t>
      </w:r>
    </w:p>
    <w:p w14:paraId="0825CDEE" w14:textId="4AC1CA9B" w:rsidR="002014BF" w:rsidRDefault="002014BF" w:rsidP="00FF6B5C">
      <w:pPr>
        <w:spacing w:line="360" w:lineRule="auto"/>
        <w:jc w:val="both"/>
      </w:pPr>
      <w:r>
        <w:t>Environmental homogenisation of riparian landscapes by this combination of flow modification and land-use change therefore has profound implications for riparian biodiversity. The environmental flows concept posits that given a solid understanding of the hydroecology of a given riparian assemblage, restoration of riparian ecosystems on regulated rivers can be facilitated by releasing engineered flows which support indigenous plant assemblages</w:t>
      </w:r>
      <w:r w:rsidR="002B2324">
        <w:t xml:space="preserve"> </w:t>
      </w:r>
      <w:r w:rsidR="002B2324">
        <w:fldChar w:fldCharType="begin" w:fldLock="1"/>
      </w:r>
      <w:r w:rsidR="00370EF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2B2324">
        <w:fldChar w:fldCharType="separate"/>
      </w:r>
      <w:r w:rsidR="00370EFC" w:rsidRPr="00370EFC">
        <w:rPr>
          <w:noProof/>
        </w:rPr>
        <w:t xml:space="preserve">(Poff </w:t>
      </w:r>
      <w:r w:rsidR="00370EFC" w:rsidRPr="00370EFC">
        <w:rPr>
          <w:i/>
          <w:noProof/>
        </w:rPr>
        <w:t>et al.</w:t>
      </w:r>
      <w:r w:rsidR="00370EFC" w:rsidRPr="00370EFC">
        <w:rPr>
          <w:noProof/>
        </w:rPr>
        <w:t xml:space="preserve"> 2010)</w:t>
      </w:r>
      <w:r w:rsidR="002B2324">
        <w:fldChar w:fldCharType="end"/>
      </w:r>
      <w:r w:rsidR="002B2324">
        <w:t>.</w:t>
      </w:r>
      <w:r>
        <w:t xml:space="preserve"> The success of such endeavours in modified landscapes, however, is likely to be contingent on the relative contribution of flow modification and other pre</w:t>
      </w:r>
      <w:r w:rsidR="009F65E7">
        <w:t xml:space="preserve">ssures on riparian ecosystems. </w:t>
      </w:r>
    </w:p>
    <w:p w14:paraId="2D59C9E7" w14:textId="77777777" w:rsidR="002014BF" w:rsidRDefault="002014BF" w:rsidP="00FF6B5C">
      <w:pPr>
        <w:spacing w:line="360" w:lineRule="auto"/>
        <w:jc w:val="both"/>
      </w:pPr>
      <w:r>
        <w:t>To this end, we used a functional trait diversity approach to examine vegetation responses to hydrological alteration in a modified landscape in south-east Queensland, Australia. Our aim was to tease apart the environmental factors associated with taxonomic and functional diversity in riparian plant communities. A set of hypotheses about environmental heterogeneity – diversity relationships guided our approach: 1.) species richness and functional diversity increase monotonically as a function of hydrological heterogeneity; 2.) species richness, functional diversity and abundance of exotic species show unimodal relationships with hydrological heterogeneity, due to microfragmentation and intermediate disturbance-type effects; 3.) species richness and functional diversity decrease along gradients of increasing flow modification and catchment land-use intensity, as an outcome o</w:t>
      </w:r>
      <w:r w:rsidR="009F65E7">
        <w:t>f environmental homogenisation.</w:t>
      </w:r>
    </w:p>
    <w:p w14:paraId="5E1BF2A4" w14:textId="77777777" w:rsidR="00FF6B5C" w:rsidRDefault="00FF6B5C" w:rsidP="00FF6B5C">
      <w:pPr>
        <w:spacing w:line="360" w:lineRule="auto"/>
        <w:jc w:val="both"/>
      </w:pPr>
    </w:p>
    <w:p w14:paraId="71386EF1" w14:textId="77777777" w:rsidR="00FF6B5C" w:rsidRDefault="00FF6B5C" w:rsidP="00FF6B5C">
      <w:pPr>
        <w:spacing w:line="360" w:lineRule="auto"/>
        <w:jc w:val="both"/>
      </w:pPr>
    </w:p>
    <w:p w14:paraId="1D050CF0" w14:textId="77777777" w:rsidR="00FF6B5C" w:rsidRDefault="00FF6B5C" w:rsidP="00FF6B5C">
      <w:pPr>
        <w:spacing w:line="360" w:lineRule="auto"/>
        <w:jc w:val="both"/>
      </w:pPr>
    </w:p>
    <w:p w14:paraId="65CE108D" w14:textId="77777777" w:rsidR="00FF6B5C" w:rsidRDefault="00FF6B5C" w:rsidP="00FF6B5C">
      <w:pPr>
        <w:spacing w:line="360" w:lineRule="auto"/>
        <w:jc w:val="both"/>
      </w:pPr>
    </w:p>
    <w:p w14:paraId="2D5DE85C" w14:textId="77777777" w:rsidR="00FF6B5C" w:rsidRDefault="00FF6B5C" w:rsidP="00FF6B5C">
      <w:pPr>
        <w:spacing w:line="360" w:lineRule="auto"/>
        <w:jc w:val="both"/>
      </w:pPr>
    </w:p>
    <w:p w14:paraId="06A7E3EC" w14:textId="77777777" w:rsidR="00FF6B5C" w:rsidRDefault="00FF6B5C" w:rsidP="00FF6B5C">
      <w:pPr>
        <w:spacing w:line="360" w:lineRule="auto"/>
        <w:jc w:val="both"/>
      </w:pPr>
    </w:p>
    <w:p w14:paraId="71DF87AF" w14:textId="77777777" w:rsidR="00FF6B5C" w:rsidRDefault="00FF6B5C" w:rsidP="00FF6B5C">
      <w:pPr>
        <w:spacing w:line="360" w:lineRule="auto"/>
        <w:jc w:val="both"/>
      </w:pPr>
    </w:p>
    <w:p w14:paraId="27653232" w14:textId="77777777" w:rsidR="00FF6B5C" w:rsidRDefault="00FF6B5C" w:rsidP="00FF6B5C">
      <w:pPr>
        <w:spacing w:line="360" w:lineRule="auto"/>
        <w:jc w:val="both"/>
      </w:pPr>
    </w:p>
    <w:p w14:paraId="68A35D5C" w14:textId="77777777" w:rsidR="002014BF" w:rsidRDefault="002B2324" w:rsidP="00FF6B5C">
      <w:pPr>
        <w:spacing w:line="360" w:lineRule="auto"/>
        <w:jc w:val="both"/>
      </w:pPr>
      <w:r>
        <w:lastRenderedPageBreak/>
        <w:t>REGIONAL SETTING AND HYDROLOGY</w:t>
      </w:r>
    </w:p>
    <w:p w14:paraId="5E418656" w14:textId="77777777" w:rsidR="002014BF" w:rsidRDefault="002014BF" w:rsidP="00FF6B5C">
      <w:pPr>
        <w:spacing w:line="360" w:lineRule="auto"/>
        <w:jc w:val="both"/>
      </w:pPr>
      <w:r>
        <w:t xml:space="preserve">The study was conducted across seven catchments in coastal south-east Queensland, Australia (25.82 to 28.23 </w:t>
      </w:r>
      <w:r w:rsidR="002B2324" w:rsidRPr="002B2324">
        <w:rPr>
          <w:vertAlign w:val="superscript"/>
        </w:rPr>
        <w:t>o</w:t>
      </w:r>
      <w:r>
        <w:t xml:space="preserve">S, and 152.35 to 153.42 </w:t>
      </w:r>
      <w:r w:rsidR="002B2324" w:rsidRPr="002B2324">
        <w:rPr>
          <w:vertAlign w:val="superscript"/>
        </w:rPr>
        <w:t>o</w:t>
      </w:r>
      <w:r>
        <w:t xml:space="preserve">E, </w:t>
      </w:r>
      <w:r w:rsidRPr="00F61078">
        <w:t xml:space="preserve">see Fig. </w:t>
      </w:r>
      <w:r w:rsidR="002B2324" w:rsidRPr="00F61078">
        <w:t>1</w:t>
      </w:r>
      <w:r w:rsidRPr="00F61078">
        <w:t>.</w:t>
      </w:r>
      <w:r w:rsidR="00515496" w:rsidRPr="00F61078">
        <w:t>)</w:t>
      </w:r>
      <w:r>
        <w:t xml:space="preserve"> The dominant land-use in the region is agri</w:t>
      </w:r>
      <w:r w:rsidR="002B2324">
        <w:t xml:space="preserve">culture, with approximately 40 </w:t>
      </w:r>
      <w:r>
        <w:t xml:space="preserve">% of the area </w:t>
      </w:r>
      <w:r w:rsidR="002B2324">
        <w:t xml:space="preserve">under livestock grazing, and 4 </w:t>
      </w:r>
      <w:r>
        <w:t>% used for cropping. Urbanisation is also extensive, particularly along the coast. Native vegetation within conservation estat</w:t>
      </w:r>
      <w:r w:rsidR="002B2324">
        <w:t xml:space="preserve">e or state forest comprises 20 </w:t>
      </w:r>
      <w:r>
        <w:t>%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(Bureau of Meteorology 2009). The majority of rainfall is associated with summer thunderstorms between January and March, although southerly weather systems during autumn and winter are also responsible for a substa</w:t>
      </w:r>
      <w:r w:rsidR="009F65E7">
        <w:t xml:space="preserve">ntial amount of precipitation. </w:t>
      </w:r>
    </w:p>
    <w:p w14:paraId="12CB6B02" w14:textId="0DB3D599" w:rsidR="002014BF" w:rsidRDefault="002014BF" w:rsidP="00FF6B5C">
      <w:pPr>
        <w:spacing w:line="360" w:lineRule="auto"/>
        <w:jc w:val="both"/>
      </w:pPr>
      <w:r>
        <w:t xml:space="preserve">Precipitation patterns are associated with high year-on-year variability, and river discharge regimes in the region are typically unpredictable, with high coefficients of variation in mean daily flow </w:t>
      </w:r>
      <w:r w:rsidR="00515496">
        <w:fldChar w:fldCharType="begin" w:fldLock="1"/>
      </w:r>
      <w:r w:rsidR="00370EFC">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515496">
        <w:fldChar w:fldCharType="separate"/>
      </w:r>
      <w:r w:rsidR="00370EFC" w:rsidRPr="00370EFC">
        <w:rPr>
          <w:noProof/>
        </w:rPr>
        <w:t xml:space="preserve">(Rustomji, Bennett &amp; Chiew 2009; Kennard </w:t>
      </w:r>
      <w:r w:rsidR="00370EFC" w:rsidRPr="00370EFC">
        <w:rPr>
          <w:i/>
          <w:noProof/>
        </w:rPr>
        <w:t>et al.</w:t>
      </w:r>
      <w:r w:rsidR="00370EFC" w:rsidRPr="00370EFC">
        <w:rPr>
          <w:noProof/>
        </w:rPr>
        <w:t xml:space="preserve"> 2010)</w:t>
      </w:r>
      <w:r w:rsidR="00515496">
        <w:fldChar w:fldCharType="end"/>
      </w:r>
      <w:r>
        <w:t xml:space="preserve">.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w:t>
      </w:r>
      <w:r w:rsidR="009F65E7">
        <w:t>unpredictable summer dominated.</w:t>
      </w:r>
    </w:p>
    <w:p w14:paraId="20D4F66F" w14:textId="564CFFA5" w:rsidR="002014BF" w:rsidRDefault="002014BF" w:rsidP="00FF6B5C">
      <w:pPr>
        <w:spacing w:line="360" w:lineRule="auto"/>
        <w:jc w:val="both"/>
      </w:pPr>
      <w:r>
        <w:t xml:space="preserve">River flow regimes throughout the study region are modified by dams, weirs, intra- and inter-basin water transfer, and unsupplemented water extraction. The majority of the dams were constructed by the mid-1970s and have a maximum capacity of less than 50,000 ML. Two substantially larger dams (Wivenhoe Dam – 1,150,000 ML and Hinze Dam – 165,000 ML) in the area were constructed during the 1980s.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rsidR="00515496">
        <w:t xml:space="preserve"> </w:t>
      </w:r>
      <w:r>
        <w:t xml:space="preserve">compared historic </w:t>
      </w:r>
      <w:r w:rsidR="00FB54D8">
        <w:t xml:space="preserve">gauged </w:t>
      </w:r>
      <w:r>
        <w:t xml:space="preserve">daily discharge data with modelled predevelopment discharge data and found that flow modification by structures and diversions in south-east Queensland is diverse and system specific. Reduced flow variability is prevalent, and while increased perenniality in drier systems and altered low spell duration are also common, few other generalisations can be made about the effects of regulation on streamflows in the region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515496">
        <w:fldChar w:fldCharType="end"/>
      </w:r>
      <w:r w:rsidR="009F65E7">
        <w:t>.</w:t>
      </w:r>
    </w:p>
    <w:p w14:paraId="0C3D1123" w14:textId="77777777" w:rsidR="00F61078" w:rsidRDefault="00F61078" w:rsidP="00FF6B5C">
      <w:pPr>
        <w:spacing w:line="360" w:lineRule="auto"/>
        <w:jc w:val="both"/>
      </w:pPr>
    </w:p>
    <w:p w14:paraId="1DC73299" w14:textId="77777777" w:rsidR="00F61078" w:rsidRDefault="00F61078" w:rsidP="00FF6B5C">
      <w:pPr>
        <w:spacing w:line="360" w:lineRule="auto"/>
        <w:jc w:val="both"/>
      </w:pPr>
    </w:p>
    <w:p w14:paraId="7DECEAF9" w14:textId="77777777" w:rsidR="00F61078" w:rsidRDefault="00F61078" w:rsidP="00FF6B5C">
      <w:pPr>
        <w:spacing w:line="360" w:lineRule="auto"/>
        <w:jc w:val="both"/>
      </w:pPr>
    </w:p>
    <w:p w14:paraId="18FBCC72" w14:textId="77777777" w:rsidR="00515496" w:rsidRDefault="00515496" w:rsidP="00FF6B5C">
      <w:pPr>
        <w:spacing w:line="360" w:lineRule="auto"/>
        <w:jc w:val="both"/>
      </w:pPr>
      <w:r>
        <w:lastRenderedPageBreak/>
        <w:t>METHODS</w:t>
      </w:r>
    </w:p>
    <w:p w14:paraId="0EDEFB12" w14:textId="18A30D1F" w:rsidR="002014BF" w:rsidRDefault="002014BF" w:rsidP="00FF6B5C">
      <w:pPr>
        <w:spacing w:line="360" w:lineRule="auto"/>
        <w:jc w:val="both"/>
      </w:pPr>
      <w:r>
        <w:t>The current study is an extension of a previous larger study</w:t>
      </w:r>
      <w:r w:rsidR="00515496">
        <w:t xml:space="preserve"> </w:t>
      </w:r>
      <w:r w:rsidR="00515496">
        <w:fldChar w:fldCharType="begin" w:fldLock="1"/>
      </w:r>
      <w:r w:rsidR="00370EF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515496">
        <w:fldChar w:fldCharType="separate"/>
      </w:r>
      <w:r w:rsidR="00370EFC" w:rsidRPr="00370EFC">
        <w:rPr>
          <w:noProof/>
        </w:rPr>
        <w:t xml:space="preserve">(Arthington </w:t>
      </w:r>
      <w:r w:rsidR="00370EFC" w:rsidRPr="00370EFC">
        <w:rPr>
          <w:i/>
          <w:noProof/>
        </w:rPr>
        <w:t>et al.</w:t>
      </w:r>
      <w:r w:rsidR="00370EFC" w:rsidRPr="00370EFC">
        <w:rPr>
          <w:noProof/>
        </w:rPr>
        <w:t xml:space="preserve"> 2012)</w:t>
      </w:r>
      <w:r w:rsidR="00515496">
        <w:fldChar w:fldCharType="end"/>
      </w:r>
      <w:r>
        <w:t xml:space="preserve">; the report describing the original study provides extensive detail not included here. Except where specified, all statistical analyses were performed using the R statistical programming environment </w:t>
      </w:r>
      <w:r w:rsidR="00515496">
        <w:fldChar w:fldCharType="begin" w:fldLock="1"/>
      </w:r>
      <w:r w:rsidR="00515496">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00515496">
        <w:fldChar w:fldCharType="separate"/>
      </w:r>
      <w:r w:rsidR="00515496" w:rsidRPr="00515496">
        <w:rPr>
          <w:noProof/>
        </w:rPr>
        <w:t>(R Core Team 2015)</w:t>
      </w:r>
      <w:r w:rsidR="00515496">
        <w:fldChar w:fldCharType="end"/>
      </w:r>
      <w:r>
        <w:t>, and statistical signifi</w:t>
      </w:r>
      <w:r w:rsidR="00515496">
        <w:t>cance was thresholded at alpha = 0.05.</w:t>
      </w:r>
    </w:p>
    <w:p w14:paraId="1B52AA39" w14:textId="77777777" w:rsidR="002014BF" w:rsidRPr="00515496" w:rsidRDefault="00515496" w:rsidP="00FF6B5C">
      <w:pPr>
        <w:spacing w:line="360" w:lineRule="auto"/>
        <w:jc w:val="both"/>
        <w:rPr>
          <w:i/>
        </w:rPr>
      </w:pPr>
      <w:r w:rsidRPr="00515496">
        <w:rPr>
          <w:i/>
        </w:rPr>
        <w:t>Site selection and vegetation sampling</w:t>
      </w:r>
    </w:p>
    <w:p w14:paraId="4D590786" w14:textId="77777777" w:rsidR="002014BF" w:rsidRDefault="002014BF" w:rsidP="00FF6B5C">
      <w:pPr>
        <w:spacing w:line="360" w:lineRule="auto"/>
        <w:jc w:val="both"/>
      </w:pPr>
      <w:r>
        <w:t>Riparian vegetation was surveyed between August and October in 2008, 2009 and 2010. Twenty river reaches were selected to sample the range of flow regime classes determined by a regional classification of flow regimes (see Mackay et al., 2014). Proximity to flow monitoring gauges with an a</w:t>
      </w:r>
      <w:r w:rsidR="00515496">
        <w:t>ssociated recording history of &gt;</w:t>
      </w:r>
      <w:r>
        <w:t>25 years was of primary importance. Duplicate surveys were made along each river reach as close as possible to the flow monitoring station (to give a total of 40 sites), but separated by at least 2 km.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w:t>
      </w:r>
      <w:r w:rsidR="00515496">
        <w:t xml:space="preserve"> </w:t>
      </w:r>
    </w:p>
    <w:p w14:paraId="6B829012" w14:textId="5A976528" w:rsidR="00515496" w:rsidRDefault="002014BF" w:rsidP="00FF6B5C">
      <w:pPr>
        <w:spacing w:line="360" w:lineRule="auto"/>
        <w:jc w:val="both"/>
      </w:pPr>
      <w:r>
        <w:t>Three transects were randomly placed at each site, running perpendicular to the river. Additional transects were conducted at three sites, where low vegetation densities occurred. Transects extended from the water’s edge to the macrochannel bank, or to a maximum of 50 m from the water’s edge. A standard sampling area was not used due to variability in vegetation structure, channel landforms and adjacent land uses; sampling area was controlled for in subsequent analyses. Site sampling areas were typically greater than 400 m</w:t>
      </w:r>
      <w:r w:rsidR="00515496" w:rsidRPr="00515496">
        <w:rPr>
          <w:vertAlign w:val="superscript"/>
        </w:rPr>
        <w:t>2</w:t>
      </w:r>
      <w:r w:rsidR="00515496">
        <w:rPr>
          <w:vertAlign w:val="superscript"/>
        </w:rPr>
        <w:t xml:space="preserve"> </w:t>
      </w:r>
      <w:r>
        <w:t>but ranged from 260 - 1013 m</w:t>
      </w:r>
      <w:r w:rsidR="00515496" w:rsidRPr="00515496">
        <w:rPr>
          <w:vertAlign w:val="superscript"/>
        </w:rPr>
        <w:t>2</w:t>
      </w:r>
      <w:r>
        <w:t xml:space="preserve">. All </w:t>
      </w:r>
      <w:r w:rsidR="00DE1A54">
        <w:t>woody</w:t>
      </w:r>
      <w:r>
        <w:t xml:space="preserve"> plants </w:t>
      </w:r>
      <w:r w:rsidR="00DE1A54">
        <w:t xml:space="preserve">and graminoids </w:t>
      </w:r>
      <w:r>
        <w:t>within a 5 m band centred on the transect line were identified and counted. Species identifications were confirme</w:t>
      </w:r>
      <w:r w:rsidR="00515496">
        <w:t xml:space="preserve">d by the Queensland Herbarium. </w:t>
      </w:r>
    </w:p>
    <w:p w14:paraId="0ADDEE11" w14:textId="77777777" w:rsidR="002014BF" w:rsidRPr="00515496" w:rsidRDefault="002014BF" w:rsidP="00FF6B5C">
      <w:pPr>
        <w:spacing w:line="360" w:lineRule="auto"/>
        <w:jc w:val="both"/>
        <w:rPr>
          <w:i/>
        </w:rPr>
      </w:pPr>
      <w:r w:rsidRPr="00515496">
        <w:rPr>
          <w:i/>
        </w:rPr>
        <w:t xml:space="preserve">Describing stream hydrology </w:t>
      </w:r>
      <w:r w:rsidR="00515496" w:rsidRPr="00515496">
        <w:rPr>
          <w:i/>
        </w:rPr>
        <w:t>and quantifying flow regulation</w:t>
      </w:r>
    </w:p>
    <w:p w14:paraId="7F02A876" w14:textId="0F8B10B3" w:rsidR="002014BF" w:rsidRDefault="002014BF" w:rsidP="00FF6B5C">
      <w:pPr>
        <w:spacing w:line="360" w:lineRule="auto"/>
        <w:jc w:val="both"/>
      </w:pPr>
      <w:r>
        <w:t>Daily discharge data for each reach were obtained from Queensland Government Department of Natural Resources and Mines (DNR</w:t>
      </w:r>
      <w:r w:rsidR="00515496">
        <w:t xml:space="preserve">M) Water Monitoring Data Portal: </w:t>
      </w:r>
      <w:r>
        <w:t>https://www.dnrm.qld.gov.au/water/wat</w:t>
      </w:r>
      <w:r w:rsidR="00515496">
        <w:t>er-monitoring-and-data/portal</w:t>
      </w:r>
      <w:r>
        <w:t xml:space="preserve">. 35 year time series spanning 1975 – 2009 were obtained where possible. Missing data were infilled using the Time Series Manager module in River Analysis Package </w:t>
      </w:r>
      <w:r w:rsidR="00515496">
        <w:fldChar w:fldCharType="begin" w:fldLock="1"/>
      </w:r>
      <w:r w:rsidR="00370EF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515496">
        <w:fldChar w:fldCharType="separate"/>
      </w:r>
      <w:r w:rsidR="00370EFC" w:rsidRPr="00370EFC">
        <w:rPr>
          <w:noProof/>
        </w:rPr>
        <w:t>(Marsh, Stewardson &amp; Kennard 2003)</w:t>
      </w:r>
      <w:r w:rsidR="00515496">
        <w:fldChar w:fldCharType="end"/>
      </w:r>
      <w:r>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t>
      </w:r>
      <w:r>
        <w:lastRenderedPageBreak/>
        <w:t>was truncated to exclude the periods where data was missing. The shortest remaining period (34 days) was infilled by linear interpolation. Flow data for one site (Obi Obi Creek at Kidaman) was obtained from Water Quality Accounting (Queensland DNRM) as modelled gauge data derived from a calibration model for the Mary River catchment. See</w:t>
      </w:r>
      <w:r w:rsidR="00515496">
        <w:t xml:space="preserve">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t xml:space="preserve"> for</w:t>
      </w:r>
      <w:r w:rsidR="00515496">
        <w:t xml:space="preserve"> further information on interpolation of hydrological data.</w:t>
      </w:r>
    </w:p>
    <w:p w14:paraId="2405B01A" w14:textId="58D77CAB" w:rsidR="002014BF" w:rsidRDefault="002014BF" w:rsidP="00FF6B5C">
      <w:pPr>
        <w:spacing w:line="360" w:lineRule="auto"/>
        <w:jc w:val="both"/>
      </w:pPr>
      <w:r>
        <w:t>River Analysis Package was used to generate a set of 18 ecologically relevant hydrological metrics for each site, describing mean and interannual variability in the frequency, magnitude and duration and seasonal timing of high and low flow conditions</w:t>
      </w:r>
      <w:r w:rsidR="00174AF5">
        <w:t>. Table 1</w:t>
      </w:r>
      <w:r>
        <w:t xml:space="preserve"> provides definitions of these flow regime characteristics and describes their ecological importance and contribution to environmental heterogeneity. As a number of these metrics exhibited collinearity, we have included a principal components analysis of this data in the </w:t>
      </w:r>
      <w:r w:rsidR="00743CB1">
        <w:t>Supporting</w:t>
      </w:r>
      <w:r>
        <w:t xml:space="preserve"> Information S1. Metrics of flow magnitude which had units ML / day were standardised by mean daily flow to allow for comparison between different river channel sizes. These metrics therefore represent ratios of flo</w:t>
      </w:r>
      <w:r w:rsidR="00515496">
        <w:t>w magnitude to mean daily flow.</w:t>
      </w:r>
    </w:p>
    <w:p w14:paraId="0941AB64" w14:textId="45E69776" w:rsidR="00F850CF" w:rsidRDefault="002014BF" w:rsidP="00FF6B5C">
      <w:pPr>
        <w:spacing w:line="360" w:lineRule="auto"/>
        <w:jc w:val="both"/>
      </w:pPr>
      <w:r>
        <w:t>The extent of flow regulation at a given gauge site was characterised by the percentage deviation of each metric from the same metric generated using modelled pre-development flow data. These modelled pre-development daily discharge data were obtained from a generic integrated water quantity and quality simulation model (IQQM) developed for the region</w:t>
      </w:r>
      <w:r w:rsidR="00515496">
        <w:t xml:space="preserve"> </w:t>
      </w:r>
      <w:r w:rsidR="00515496">
        <w:fldChar w:fldCharType="begin" w:fldLock="1"/>
      </w:r>
      <w:r w:rsidR="00370EFC">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00515496">
        <w:fldChar w:fldCharType="separate"/>
      </w:r>
      <w:r w:rsidR="00370EFC" w:rsidRPr="00370EFC">
        <w:rPr>
          <w:noProof/>
        </w:rPr>
        <w:t>(Simons, Podger &amp; Cooke 1996)</w:t>
      </w:r>
      <w:r w:rsidR="00515496">
        <w:fldChar w:fldCharType="end"/>
      </w:r>
      <w:r>
        <w:t>. IQQM data were available only for the period up to 1999, so data from the timeframe 1975-1999 were used for comparison.</w:t>
      </w:r>
    </w:p>
    <w:p w14:paraId="23BD4074" w14:textId="77777777" w:rsidR="004B449E" w:rsidRPr="004B449E" w:rsidRDefault="004B449E" w:rsidP="00FF6B5C">
      <w:pPr>
        <w:spacing w:line="360" w:lineRule="auto"/>
        <w:jc w:val="both"/>
        <w:rPr>
          <w:i/>
        </w:rPr>
      </w:pPr>
      <w:r w:rsidRPr="004B449E">
        <w:rPr>
          <w:i/>
        </w:rPr>
        <w:t>Other environmental variables</w:t>
      </w:r>
    </w:p>
    <w:p w14:paraId="77BBF564" w14:textId="7E910B5A" w:rsidR="004B449E" w:rsidRDefault="004B449E" w:rsidP="00FF6B5C">
      <w:pPr>
        <w:spacing w:line="360" w:lineRule="auto"/>
        <w:jc w:val="both"/>
      </w:pPr>
      <w:r>
        <w:t xml:space="preserve">Data on upstream land use were obtained via the Queensland Land Use Mapping Program (QLUMP) and dataset </w:t>
      </w:r>
      <w:r>
        <w:fldChar w:fldCharType="begin" w:fldLock="1"/>
      </w:r>
      <w:r w:rsidR="00370EFC">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fldChar w:fldCharType="separate"/>
      </w:r>
      <w:r w:rsidR="00370EFC" w:rsidRPr="00370EFC">
        <w:rPr>
          <w:noProof/>
        </w:rPr>
        <w:t xml:space="preserve">(Witte </w:t>
      </w:r>
      <w:r w:rsidR="00370EFC" w:rsidRPr="00370EFC">
        <w:rPr>
          <w:i/>
          <w:noProof/>
        </w:rPr>
        <w:t>et al.</w:t>
      </w:r>
      <w:r w:rsidR="00370EFC" w:rsidRPr="00370EFC">
        <w:rPr>
          <w:noProof/>
        </w:rPr>
        <w:t xml:space="preserve"> 2006)</w:t>
      </w:r>
      <w:r>
        <w:fldChar w:fldCharType="end"/>
      </w:r>
      <w:r>
        <w:t xml:space="preserve">. These data were generated from surveys conducted in 1999 and 2006. Land use was categorised according to the Australian Land use and Management Classification version 6 </w:t>
      </w:r>
      <w:r>
        <w:fldChar w:fldCharType="begin" w:fldLock="1"/>
      </w:r>
      <w:r>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fldChar w:fldCharType="separate"/>
      </w:r>
      <w:r w:rsidRPr="004B449E">
        <w:rPr>
          <w:noProof/>
        </w:rPr>
        <w:t>(BRS 2002)</w:t>
      </w:r>
      <w:r>
        <w:fldChar w:fldCharType="end"/>
      </w:r>
      <w:r>
        <w:t>,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w:t>
      </w:r>
      <w:r w:rsidR="003B2691">
        <w:t xml:space="preserve"> </w:t>
      </w:r>
      <w:r w:rsidR="003B2691">
        <w:fldChar w:fldCharType="begin" w:fldLock="1"/>
      </w:r>
      <w:r w:rsidR="003B2691">
        <w:instrText>ADDIN CSL_CITATION { "citationItems" : [ { "id" : "ITEM-1", "itemData" : { "DOI" : "10.1111/j.1365-2427.2010.02507.x", "ISBN" : "1365-2427", "ISSN" : "00465070", "abstract" : "Summary 1.\u2002 Biodiversity, water quality and ecosystem processes in streams are known to be influenced by the terrestrial landscape over a range of spatial and temporal scales. Lumped attributes (i.e. per cent land use) are often used to characterise the condition of the catchment; however, they are not spatially explicit and do not account for the disproportionate influence of land located near the stream or connected by overland flow. 2.\u2002 We compared seven landscape representation metrics to determine whether accounting for the spatial proximity and hydrological effects of land use can be used to account for additional variability in indicators of stream ecosystem health. The landscape metrics included the following: a lumped metric, four inverse-distance-weighted (IDW) metrics based on distance to the stream or survey site and two modified IDW metrics that also accounted for the level of hydrologic activity (HA-IDW). Ecosystem health data were obtained from the Ecological Health Monitoring Programme in Southeast Queensland, Australia and included measures of fish, invertebrates, physicochemistry and nutrients collected during two seasons over 4\u00a0years. Linear models were fitted to the stream indicators and landscape metrics, by season, and compared using an information-theoretic approach. 3.\u2002 Although no single metric was most suitable for modelling all stream indicators, lumped metrics rarely performed as well as other metric types. Metrics based on proximity to the stream (IDW and HA-IDW) were more suitable for modelling fish indicators, while the HA-IDW metric based on proximity to the survey site generally outperformed others for invertebrates, irrespective of season. There was consistent support for metrics based on proximity to the survey site (IDW or HA-IDW) for all physicochemical indicators during the dry season, while a HA-IDW metric based on proximity to the stream was suitable for five of the six physicochemical indicators in the post-wet season. Only one nutrient indicator was tested and results showed that catchment area had a significant effect on the relationship between land use metrics and algal stable isotope ratios in both seasons. 4.\u2002 Spatially explicit methods of landscape representation can clearly improve the predictive ability of many empirical models currently used to study the relationship between landscape, habitat and stream condition. A comparison of different metrics may provide clues about causal pathways and mechanistic\u2026", "author" : [ { "dropping-particle" : "", "family" : "Peterson", "given" : "Erin E.", "non-dropping-particle" : "", "parse-names" : false, "suffix" : "" }, { "dropping-particle" : "", "family" : "Sheldon", "given" : "Fran", "non-dropping-particle" : "", "parse-names" : false, "suffix" : "" }, { "dropping-particle" : "", "family" : "Darnell", "given" : "Ross", "non-dropping-particle" : "", "parse-names" : false, "suffix" : "" }, { "dropping-particle" : "", "family" : "Bunn", "given" : "Stuart E.", "non-dropping-particle" : "", "parse-names" : false, "suffix" : "" }, { "dropping-particle" : "", "family" : "Harch", "given" : "Bronwyn D.", "non-dropping-particle" : "", "parse-names" : false, "suffix" : "" } ], "container-title" : "Freshwater Biology", "id" : "ITEM-1", "issue" : "3", "issued" : { "date-parts" : [ [ "2011" ] ] }, "page" : "590-610", "title" : "A comparison of spatially explicit landscape representation methods and their relationship to stream condition", "type" : "article-journal", "volume" : "56" }, "uris" : [ "http://www.mendeley.com/documents/?uuid=614c9c81-e4fe-4683-8fd7-155af1603123" ] } ], "mendeley" : { "formattedCitation" : "(Peterson &lt;i&gt;et al.&lt;/i&gt; 2011)", "manualFormatting" : "Peterson et al. (2011)", "plainTextFormattedCitation" : "(Peterson et al. 2011)", "previouslyFormattedCitation" : "(Peterson &lt;i&gt;et al.&lt;/i&gt; 2011)" }, "properties" : { "noteIndex" : 0 }, "schema" : "https://github.com/citation-style-language/schema/raw/master/csl-citation.json" }</w:instrText>
      </w:r>
      <w:r w:rsidR="003B2691">
        <w:fldChar w:fldCharType="separate"/>
      </w:r>
      <w:r w:rsidR="003B2691" w:rsidRPr="003B2691">
        <w:rPr>
          <w:noProof/>
        </w:rPr>
        <w:t xml:space="preserve">Peterson </w:t>
      </w:r>
      <w:r w:rsidR="003B2691" w:rsidRPr="003B2691">
        <w:rPr>
          <w:i/>
          <w:noProof/>
        </w:rPr>
        <w:t>et al.</w:t>
      </w:r>
      <w:r w:rsidR="003B2691" w:rsidRPr="003B2691">
        <w:rPr>
          <w:noProof/>
        </w:rPr>
        <w:t xml:space="preserve"> </w:t>
      </w:r>
      <w:r w:rsidR="003B2691">
        <w:rPr>
          <w:noProof/>
        </w:rPr>
        <w:t>(</w:t>
      </w:r>
      <w:r w:rsidR="003B2691" w:rsidRPr="003B2691">
        <w:rPr>
          <w:noProof/>
        </w:rPr>
        <w:t>2011)</w:t>
      </w:r>
      <w:r w:rsidR="003B2691">
        <w:fldChar w:fldCharType="end"/>
      </w:r>
      <w:r w:rsidR="003B2691">
        <w:t>.</w:t>
      </w:r>
    </w:p>
    <w:p w14:paraId="2A81BAAD" w14:textId="38ABFA28" w:rsidR="004B449E" w:rsidRPr="00F32B51" w:rsidRDefault="004B449E" w:rsidP="00FF6B5C">
      <w:pPr>
        <w:spacing w:line="360" w:lineRule="auto"/>
        <w:jc w:val="both"/>
      </w:pPr>
      <w:r>
        <w:t xml:space="preserve">Climate data were obtained from eMast/TERN, at a resolution of 0.01 degrees </w:t>
      </w:r>
      <w:r>
        <w:fldChar w:fldCharType="begin" w:fldLock="1"/>
      </w:r>
      <w:r w:rsidR="00370EFC">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fldChar w:fldCharType="separate"/>
      </w:r>
      <w:r w:rsidR="00370EFC" w:rsidRPr="00370EFC">
        <w:rPr>
          <w:noProof/>
        </w:rPr>
        <w:t>(Hutchinson, Kesteven &amp; Tingbao 2014)</w:t>
      </w:r>
      <w:r>
        <w:fldChar w:fldCharType="end"/>
      </w:r>
      <w:r>
        <w:t xml:space="preserve">. Bioclimatic variables representing annual trends, seasonality and </w:t>
      </w:r>
      <w:r>
        <w:lastRenderedPageBreak/>
        <w:t>extremes were calculated following the BIOCLIM framework</w:t>
      </w:r>
      <w:r w:rsidR="00974B6A">
        <w:t xml:space="preserve"> </w:t>
      </w:r>
      <w:r w:rsidR="00974B6A">
        <w:fldChar w:fldCharType="begin" w:fldLock="1"/>
      </w:r>
      <w:r w:rsidR="00974B6A">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974B6A">
        <w:fldChar w:fldCharType="separate"/>
      </w:r>
      <w:r w:rsidR="00974B6A" w:rsidRPr="00974B6A">
        <w:rPr>
          <w:noProof/>
        </w:rPr>
        <w:t>(Busby 1991)</w:t>
      </w:r>
      <w:r w:rsidR="00974B6A">
        <w:fldChar w:fldCharType="end"/>
      </w:r>
      <w:r>
        <w:t>. The resulting set of 19 climate variables were strongly collinear, consequently PCA was used to identify a subset of six varia</w:t>
      </w:r>
      <w:r w:rsidR="00974B6A">
        <w:t xml:space="preserve">bles which represented over 90 </w:t>
      </w:r>
      <w:r>
        <w:t xml:space="preserve">% of the variation in the data. Soil data were obtained from the CSIRO Soil and Landscape Grid of Australia, at a resolution of 3 arc seconds </w:t>
      </w:r>
      <w:r w:rsidR="00974B6A">
        <w:t>~</w:t>
      </w:r>
      <w:r>
        <w:t>3 m</w:t>
      </w:r>
      <w:r w:rsidR="00974B6A">
        <w:t xml:space="preserve"> </w:t>
      </w:r>
      <w:r w:rsidR="00974B6A">
        <w:fldChar w:fldCharType="begin" w:fldLock="1"/>
      </w:r>
      <w:r w:rsidR="00370EFC">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Soil Depth (3\" resolution) - Release 1. v2. CSIRO. Data Collection. 10.4225/08/546F540FE10AA", "type" : "article-journal" }, "uris" : [ "http://www.mendeley.com/documents/?uuid=3899ea69-7963-4db1-8cfe-5e08c22e3a81"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pH - CaCl2 (3\" resolution) - Release 1. v2. CSIRO. Data Collection. 10.4225/08/546F17EC6AB6E", "type" : "article-journal" }, "uris" : [ "http://www.mendeley.com/documents/?uuid=d9a761bc-9bb0-41db-97d0-1a74105ec800"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Silt (3\" resolution) - Release 1. v4. CSIRO. Data Collection. 10.4225/08/546F48D6A6D48", "type" : "article-journal" }, "uris" : [ "http://www.mendeley.com/documents/?uuid=b3820dc4-b315-4ed0-a480-3d4cebe9dc26"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Clay (3\" resolution) - Release 1. v4. CSIRO. Data Collection. 10.4225/08/546EEE35164BF", "type" : "article-journal" }, "uris" : [ "http://www.mendeley.com/documents/?uuid=852e0963-543b-4c23-951d-ad2718ada2ad"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"mendeley" : { "formattedCitation" : "(Rossel &lt;i&gt;et al.&lt;/i&gt; 2014a bk c d e f g h i j)", "manualFormatting" : "(Rossel et al. 2014a; b; c; d; e; f; g; h; i; j; k;", "plainTextFormattedCitation" : "(Rossel et al. 2014a bk c d e f g h i j)", "previouslyFormattedCitation" : "(Rossel &lt;i&gt;et al.&lt;/i&gt; 2014a bk c d e f g h i j)" }, "properties" : { "noteIndex" : 0 }, "schema" : "https://github.com/citation-style-language/schema/raw/master/csl-citation.json" }</w:instrText>
      </w:r>
      <w:r w:rsidR="00974B6A">
        <w:fldChar w:fldCharType="separate"/>
      </w:r>
      <w:r w:rsidR="00974B6A">
        <w:rPr>
          <w:noProof/>
        </w:rPr>
        <w:t>(Rossel et al. 2014a; b</w:t>
      </w:r>
      <w:r w:rsidR="00974B6A" w:rsidRPr="00974B6A">
        <w:rPr>
          <w:noProof/>
        </w:rPr>
        <w:t>; c; d; e; f; g; h; i; j</w:t>
      </w:r>
      <w:r w:rsidR="00974B6A">
        <w:rPr>
          <w:noProof/>
        </w:rPr>
        <w:t>; k;</w:t>
      </w:r>
      <w:r w:rsidR="00974B6A">
        <w:fldChar w:fldCharType="end"/>
      </w:r>
      <w:r w:rsidR="00974B6A">
        <w:t xml:space="preserve"> </w:t>
      </w:r>
      <w:r w:rsidR="00974B6A">
        <w:fldChar w:fldCharType="begin" w:fldLock="1"/>
      </w:r>
      <w:r w:rsidR="00370EFC">
        <w:instrText>ADDIN CSL_CITATION { "citationItems" : [ { "id" : "ITEM-1",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"(Wilford &lt;i&gt;et al.&lt;/i&gt; 2014)", "manualFormatting" : "Wilford et al. 2014)", "plainTextFormattedCitation" : "(Wilford et al. 2014)", "previouslyFormattedCitation" : "(Wilford &lt;i&gt;et al.&lt;/i&gt; 2014)" }, "properties" : { "noteIndex" : 0 }, "schema" : "https://github.com/citation-style-language/schema/raw/master/csl-citation.json" }</w:instrText>
      </w:r>
      <w:r w:rsidR="00974B6A">
        <w:fldChar w:fldCharType="separate"/>
      </w:r>
      <w:r w:rsidR="00974B6A" w:rsidRPr="00974B6A">
        <w:rPr>
          <w:noProof/>
        </w:rPr>
        <w:t>Wilford et al. 2014)</w:t>
      </w:r>
      <w:r w:rsidR="00974B6A">
        <w:fldChar w:fldCharType="end"/>
      </w:r>
      <w:r w:rsidR="00974B6A">
        <w:t>.</w:t>
      </w:r>
    </w:p>
    <w:p w14:paraId="4DE34654" w14:textId="77777777" w:rsidR="004B449E" w:rsidRPr="00F32B51" w:rsidRDefault="004B449E" w:rsidP="00FF6B5C">
      <w:pPr>
        <w:spacing w:line="360" w:lineRule="auto"/>
        <w:jc w:val="both"/>
        <w:rPr>
          <w:i/>
        </w:rPr>
      </w:pPr>
      <w:r w:rsidRPr="00F32B51">
        <w:rPr>
          <w:i/>
        </w:rPr>
        <w:t>Trait</w:t>
      </w:r>
      <w:r w:rsidR="00974B6A" w:rsidRPr="00F32B51">
        <w:rPr>
          <w:i/>
        </w:rPr>
        <w:t xml:space="preserve"> selection and dataset assembly</w:t>
      </w:r>
    </w:p>
    <w:p w14:paraId="69750408" w14:textId="3D1B0F21" w:rsidR="004B449E" w:rsidRDefault="004B449E" w:rsidP="00FF6B5C">
      <w:pPr>
        <w:spacing w:line="360" w:lineRule="auto"/>
        <w:jc w:val="both"/>
      </w:pPr>
      <w:r>
        <w:t xml:space="preserve">We assembled a dataset of six continuous (specific leaf area, leaf area, maximum canopy height, seed mass, wood density and flowering duration) and one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w:t>
      </w:r>
      <w:r w:rsidR="00F61078" w:rsidRPr="00F61078">
        <w:t xml:space="preserve">Table 2 </w:t>
      </w:r>
      <w:r>
        <w:t>provides further description of the utility of each of these traits in characterising the functional ecology of r</w:t>
      </w:r>
      <w:r w:rsidR="00F32B51">
        <w:t>iparian vegetation communities.</w:t>
      </w:r>
    </w:p>
    <w:p w14:paraId="4928A383" w14:textId="48C7C3EA" w:rsidR="004B449E" w:rsidRDefault="004B449E" w:rsidP="00FF6B5C">
      <w:pPr>
        <w:spacing w:line="360" w:lineRule="auto"/>
        <w:jc w:val="both"/>
      </w:pPr>
      <w:r>
        <w:t>Data was taken from published literature, private and published trait datasets, and Australian flora texts</w:t>
      </w:r>
      <w:r w:rsidR="006C6C6F">
        <w:t xml:space="preserve"> (see </w:t>
      </w:r>
      <w:r w:rsidR="00743CB1">
        <w:t>Supporting</w:t>
      </w:r>
      <w:r w:rsidR="006C6C6F">
        <w:t xml:space="preserve"> Information S3 for a bibliography)</w:t>
      </w:r>
      <w:r>
        <w:t>. Substantial contributions were taken from the following sources:</w:t>
      </w:r>
      <w:r w:rsidR="00F32B51">
        <w:t xml:space="preserve"> </w:t>
      </w:r>
      <w:r w:rsidR="00F32B51">
        <w:fldChar w:fldCharType="begin" w:fldLock="1"/>
      </w:r>
      <w:r w:rsidR="00370EFC">
        <w:instrText>ADDIN CSL_CITATION { "citationItems" : [ { "id" : "ITEM-1", "itemData" : { "id" : "ITEM-1", "issued" : { "date-parts" : [ [ "2015" ] ] }, "title" : "Royal Botanic Gardens Kew. Seed Information Database (SID) Version 7.1. Available from: http://data.kew.org/sid/ (August 2015)", "type" : "article" }, "uris" : [ "http://www.mendeley.com/documents/?uuid=0e3da0dc-d6e2-43e6-9d3f-8154d4287015" ] }, { "id" : "ITEM-2", "itemData" : { "id" : "ITEM-2",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"id" : "ITEM-3", "itemData" : { "author" : [ { "dropping-particle" : "", "family" : "Zanne", "given" : "A E", "non-dropping-particle" : "", "parse-names" : false, "suffix" : "" }, { "dropping-particle" : "", "family" : "Lopez-Gonzalez", "given" : "G", "non-dropping-particle" : "", "parse-names" : false, "suffix" : "" }, { "dropping-particle" : "", "family" : "Coomes", "given" : "D A", "non-dropping-particle" : "", "parse-names" : false, "suffix" : "" }, { "dropping-particle" : "", "family" : "Ilic", "given" : "J", "non-dropping-particle" : "", "parse-names" : false, "suffix" : "" }, { "dropping-particle" : "", "family" : "Jansen", "given" : "S", "non-dropping-particle" : "", "parse-names" : false, "suffix" : "" }, { "dropping-particle" : "", "family" : "Lewis", "given" : "S L", "non-dropping-particle" : "", "parse-names" : false, "suffix" : "" }, { "dropping-particle" : "", "family" : "Miller", "given" : "R B", "non-dropping-particle" : "", "parse-names" : false, "suffix" : "" }, { "dropping-particle" : "", "family" : "Swenson", "given" : "N G", "non-dropping-particle" : "", "parse-names" : false, "suffix" : "" }, { "dropping-particle" : "", "family" : "Wiemann", "given" : "M C", "non-dropping-particle" : "", "parse-names" : false, "suffix" : "" }, { "dropping-particle" : "", "family" : "Chave", "given" : "J", "non-dropping-particle" : "", "parse-names" : false, "suffix" : "" } ], "container-title" : "Dryad. Identifier: http://hdl. handle. net/10255/dryad", "id" : "ITEM-3", "issued" : { "date-parts" : [ [ "2009" ] ] }, "title" : "Global wood density database", "type" : "article-journal", "volume" : "235" }, "uris" : [ "http://www.mendeley.com/documents/?uuid=85816a72-374f-4076-8abb-1ec2d154c729" ] }, { "id" : "ITEM-4", "itemData" : { "DOI" : "10.1006/bijl.1999.0375", "ISBN" : "0024-4066", "ISSN" : "00244066", "abstract" : "Seedling traits have been described across 1744 species of Australian plants; Six traits were coded as binary alternatives: (1) phanerocotyly vs cryptocotyly; (2) first leaf scale-like vs leaflike; (3) first leaf single vs paired; (4) cotyledons hairy vs, glabrous; (5) hypocotyl hairy vs glabrous, and (6) embryo green vs non-green at maturity. Seed volume was calculated from measurements of seed dimensions. Three approaches were used in analysing the data: (1) the taxonomic distribution of binary character states was described; (2) the strength of bivariate character associations was quantified at species level ('cross-species' correlations and regressions); (3) the data were arrayed on a phylogenetic tree in order to analyse by 'phylogenetic regression' for correlated evolutionary shifts in trait pairs. AU the traits appeared evolutionarily malleable. For example, while cryptocotyly was the minority condition (22% of species), it occurred in many different Laxa (124 genera, 40 families, 24 orders) with high levels of polymorphy (16%, 25% and 42% for genera, families and orders). Similarly, the less common attribute states for first leaf type, hypocotyl texture, cotyledon texture and embryo colour occurred in species From right across the dicotyledon phylogeny, as did independent evolutionary divergences in each of these characters. These patterns indicate that debate over which conditions are primitive and which are advanced will not have any general answer, only an answer for a specific branch-step in the phylogenetic tree. In nearly all cases, correlated-divergence analyses showed the same patterns as cross-species analyses. The strongest associations were between seed volume and cryptocotyly, seed volume and scale-like first leaf, and seed volume and presence of green embryo. In addition, cryptocotyly and scale-like first leaf, and cotyledon and hypocotyl type, were strongly associated in both correlated-divergence and cross-species analyses. Interpretation of results was mostly presented with respect to seed size, a trait which we consider to be pivotal in a species' seedling establishment strategy. AU possible pairwise combinations of binary seedling traits were found in our study species. Taken together, the various lines of evidence presented here suggest that the traits have assorted more or less independently of each other and provide no evidence of functional groups based on these attributes. Thus, the several existing seedling typologies sho\u2026", "author" : [ { "dropping-particle" : "", "family" : "Wright", "given" : "I", "non-dropping-particle" : "", "parse-names" : false, "suffix" : "" }, { "dropping-particle" : "", "family" : "Clifford", "given" : "HT", "non-dropping-particle" : "", "parse-names" : false, "suffix" : "" }, { "dropping-particle" : "", "family" : "Kidson", "given" : "R", "non-dropping-particle" : "", "parse-names" : false, "suffix" : "" }, { "dropping-particle" : "", "family" : "Reed", "given" : "ML", "non-dropping-particle" : "", "parse-names" : false, "suffix" : "" }, { "dropping-particle" : "", "family" : "Rice", "given" : "BL", "non-dropping-particle" : "", "parse-names" : false, "suffix" : "" }, { "dropping-particle" : "", "family" : "Westoby", "given" : "M", "non-dropping-particle" : "", "parse-names" : false, "suffix" : "" } ], "container-title" : "Biological Journal of the Linnean Society", "id" : "ITEM-4", "issue" : "4", "issued" : { "date-parts" : [ [ "2000" ] ] }, "page" : "521-547", "title" : "A survey of seed and seedling characters in 1744 Australian dicotyledon species: cross-species trait correlations and correlated trait-shifts within evolutionary lineages", "type" : "article-journal", "volume" : "69" }, "uris" : [ "http://www.mendeley.com/documents/?uuid=517e19e0-bd48-4c32-8ce1-55db49e5a71b" ] }, { "id" : "ITEM-5", "itemData" : { "DOI" : "10.1046/j.1365-2745.2000.00506.x", "ISBN" : "0022-0477", "ISSN" : "00220477", "abstract" : "1 If different factors inhibiting plant growth, e.g. low rainfall or low soil nutrients, were to select for species that have similar constellations of traits, then the unfavourable factors might usefully be grouped together as 'stress'. 2 We offer a method for assessing this issue. A species mixture at a site is described by a point on a plane with two traits as axes. Change along an environmental gradient is then represented as a trajectory across the trait-plane. Trajectories along different environmental gradients are compared. 3 We measured leaf width, specific leaf area (SLA) and mature canopy height for the 386 perennial species found at 46 sites spread along rainfall and soil total phosphorus gradients in south-eastern Australia. Each trait was lognormally distributed across species within sites, hence the mean of log10(trait) satisfactorily described the species mixture at each site. 4 Combinations of assemblage-mean leaf width with SLA followed similar trajectories as rainfall and soil total P decreased. For these traits in this setting, the method indicated that low rainfall and low soil P favour similar trait-combinations. 5 Mature plant height also decreased along both rainfall and soil P gradients, and thus was positively correlated with leaf width and SLA at the level of assemblage means. The rainfall trajectories involving height behaved differently from the soil P trajectories, especially at rainfalls below c. 400 mm year22121, where assemblage-mean height declined much further than at low soil P. 6 Across all species, traits were only very loosely correlated (r2 from 0.04 to 0.17). For leaf width and SLA, evolutionary divergences were positively correlated, both before and after cross-correlation with divergence in rainfall and soil P was removed. This latter measures evolutionary divergence correlation within habitat. For height the picture was more complicated. Considering these within-habitat divergence correlations, species that were taller at maturity tended to have lower SLA and leaf width. This pattern is the reverse of the broad geographical correlation of assemblage means, showing that the patterns across assemblages result from species being selectively sifted from the regional flora into sites, not from evolutionary or cross-species correlations. 7 The trait-combination trajectory approach showed some commonalities between low soil nutrient and low rainfall habitats with regard to traits favoured in species occurring there, \u2026", "author" : [ { "dropping-particle" : "", "family" : "Fonseca", "given" : "Carlos Roberto", "non-dropping-particle" : "", "parse-names" : false, "suffix" : "" }, { "dropping-particle" : "", "family" : "Overton", "given" : "Jacob McC", "non-dropping-particle" : "", "parse-names" : false, "suffix" : "" }, { "dropping-particle" : "", "family" : "Collins", "given" : "Bronwyn", "non-dropping-particle" : "", "parse-names" : false, "suffix" : "" }, { "dropping-particle" : "", "family" : "Westoby", "given" : "Mark", "non-dropping-particle" : "", "parse-names" : false, "suffix" : "" } ], "container-title" : "Journal of Ecology", "id" : "ITEM-5", "issue" : "6", "issued" : { "date-parts" : [ [ "2000" ] ] }, "page" : "964-977", "title" : "Shifts in trait-combinations along rainfall and phosphorus gradients", "type" : "article-journal", "volume" : "88" }, "uris" : [ "http://www.mendeley.com/documents/?uuid=19ef8c12-1203-4396-a6ed-18ef94f687ba" ] }, { "id" : "ITEM-6", "itemData" : { "DOI" : "10.1111/j.1600-0706.2012.20025.x", "author" : [ { "dropping-particle" : "V", "family" : "Gallagher", "given" : "Rachael", "non-dropping-particle" : "", "parse-names" : false, "suffix" : "" }, { "dropping-particle" : "", "family" : "Leishman", "given" : "Michelle R", "non-dropping-particle" : "", "parse-names" : false, "suffix" : "" } ], "container-title" : "Oikos", "id" : "ITEM-6", "issue" : "March", "issued" : { "date-parts" : [ [ "2012" ] ] }, "page" : "1-10", "title" : "Contrasting patterns of trait-based community assembly in lianas and trees from temperate Australia", "type" : "article-journal" }, "uris" : [ "http://www.mendeley.com/documents/?uuid=8200cc7a-7537-424f-8553-cbfbc69aa631" ] }, { "id" : "ITEM-7", "itemData" : { "DOI" : "10.1371/journal.pone.0080685", "ISSN" : "19326203", "PMID" : "24312493", "abstract" : "OBJECTIVES: Identify patterns of change in species distributions, diversity, concentrations of evolutionary history, and assembly of Australian rainforests.\\n\\nMETHODS: We used the distribution records of all known rainforest woody species in Australia across their full continental extent. These were analysed using measures of species richness, phylogenetic diversity (PD), phylogenetic endemism (PE) and phylogenetic structure (net relatedness index; NRI). Phylogenetic structure was assessed using both continental and regional species pools. To test the influence of growth-form, freestanding and climbing plants were analysed independently, and in combination.\\n\\nRESULTS: Species richness decreased along two generally orthogonal continental axes, corresponding with wet to seasonally dry and tropical to temperate habitats. The PE analyses identified four main areas of substantially restricted phylogenetic diversity, including parts of Cape York, Wet Tropics, Border Ranges, and Tasmania. The continental pool NRI results showed evenness (species less related than expected by chance) in groups of grid cells in coastally aligned areas of species rich tropical and sub-tropical rainforest, and in low diversity moist forest areas in the south-east of the Great Dividing Range and in Tasmania. Monsoon and drier vine forests, and moist forests inland from upland refugia showed phylogenetic clustering, reflecting lower diversity and more relatedness. Signals for evenness in Tasmania and clustering in northern monsoon forests weakened in analyses using regional species pools. For climbing plants, values for NRI by grid cell showed strong spatial structuring, with high diversity and PE concentrated in moist tropical and subtropical regions.\\n\\nCONCLUSIONS/SIGNIFICANCE: Concentrations of rainforest evolutionary history (phylo-diversity) were patchily distributed within a continuum of species distributions. Contrasting with previous concepts of rainforest community distribution, our findings of continuous distributions and continental connectivity have significant implications for interpreting rainforest evolutionary history and current day ecological processes, and for managing rainforest diversity in changing circumstances.", "author" : [ { "dropping-particle" : "", "family" : "Kooyman", "given" : "Robert M.", "non-dropping-particle" : "", "parse-names" : false, "suffix" : "" }, { "dropping-particle" : "", "family" : "Rossetto", "given" : "Maurizio", "non-dropping-particle" : "", "parse-names" : false, "suffix" : "" }, { "dropping-particle" : "", "family" : "Sauquet", "given" : "Herv\u00e9", "non-dropping-particle" : "", "parse-names" : false, "suffix" : "" }, { "dropping-particle" : "", "family" : "Laffan", "given" : "Shawn W.", "non-dropping-particle" : "", "parse-names" : false, "suffix" : "" } ], "container-title" : "PLoS ONE", "id" : "ITEM-7", "issue" : "12", "issued" : { "date-parts" : [ [ "2013" ] ] }, "title" : "Landscape patterns in rainforest phylogenetic signal: Isolated islands of refugia or structured continental distributions", "type" : "article-journal", "volume" : "8" }, "uris" : [ "http://www.mendeley.com/documents/?uuid=d5ac97d6-6b9d-43ca-9f58-831190228756" ] }, { "id" : "ITEM-8", "itemData" : { "DOI" : "10.1111/j.1365-2435.2012.01962.x", "ISBN" : "1365-2435", "ISSN" : "02698463", "abstract" : "1.Plants must balance water expenditure from their crown with water supplied through root and stem tissues. Although many different combinations of hydraulic traits could accomplish water balance, we ask whether variation across species in stem hydraulic traits has been concentrated along few, or many, dimensions of trait variation. 2.We measured stem hydraulic traits for 120 woody dicot species across a range of different biomes in eastern Australia. Mean annual temperatures ranged from 10 to 27\u00a0\u00b0C and aridity (precipitation/potential evapotranspiration) from 0\u00b733 to 1\u00b702 across study sites. 3.Xylem-specific conductivity, species\u2019 height and ratio of leaf area to xylem area were positively correlated, manifesting as a single axis of trait variation, with other traits mostly orthogonal to this axis. Thus, as height and ratio of leaf area to xylem area increased across species and habitats (increasing resistance per leaf area), xylem-specific conductivity partially compensated for this resistance. Xylem-specific conductivity was well predicted by increasing height (r2\u00a0=\u00a00\u00b745) and ratio of leaf area to xylem area (r2\u00a0=\u00a00\u00b736). This three-trait axis was positively correlated with increasing precipitation (r2\u00a0=\u00a00\u00b728) and temperature (r2\u00a0=\u00a00\u00b715), but most of the explained variance lay within sites (39%) rather than across sites (10%). Thus, the spread of species\u2019 traits along this functional axis reflected structural and hydraulic differences among co-occurring species, at least as much as it reflected differences associated with contrasting climates. 4.High xylem-specific conductivity in stems was accomplished by high vessel diameter to number ratio (r2\u00a0=\u00a00\u00b732) and/or by high vessel lumen fraction (r2\u00a0=\u00a00\u00b713). Low midday water potential (higher xylem tension) was associated with low ratio of vessel diameter to number (r2\u00a0=\u00a00\u00b725), whereas low specific gravity (r2\u00a0=\u00a00\u00b718) and stiffness (r2\u00a0=\u00a00\u00b712) were associated with high vessel lumen fraction. 5.Light capture (i.e. increasing height and leafiness) may be facilitated by high xylem-specific conductivity, but marked increases in xylem-specific conductivity may also be associated with reduced hydraulic and mechanical safety. Although the trade-offs associated with increasing xylem-specific conductivity remain unclear, our data suggest that xylem-specific conductivity is important for maintaining water balance across a large range of species and biomes.", "author" : [ { "dropping-particle" : "", "family" : "Gleason", "given" : "Sean M.", "non-dropping-particle" : "", "parse-names" : false, "suffix" : "" }, { "dropping-particle" : "", "family" : "Butler", "given" : "Don W.", "non-dropping-particle" : "", "parse-names" : false, "suffix" : "" }, { "dropping-particle" : "", "family" : "Ziemi\u0144ska", "given" : "Kasia", "non-dropping-particle" : "", "parse-names" : false, "suffix" : "" }, { "dropping-particle" : "", "family" : "Waryszak", "given" : "Pawe", "non-dropping-particle" : "", "parse-names" : false, "suffix" : "" }, { "dropping-particle" : "", "family" : "Westoby", "given" : "Mark", "non-dropping-particle" : "", "parse-names" : false, "suffix" : "" } ], "container-title" : "Functional Ecology", "id" : "ITEM-8", "issue" : "2", "issued" : { "date-parts" : [ [ "2012" ] ] }, "page" : "343-352", "title" : "Stem xylem conductivity is key to plant water balance across Australian angiosperm species", "type" : "article-journal", "volume" : "26" }, "uris" : [ "http://www.mendeley.com/documents/?uuid=46d81961-dfa9-426f-9575-95d0ad0a15a3" ] } ], "mendeley" : { "formattedCitation"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"manualFormatting" : "(PlantNET (2015), KewSID (2015); Fonseca et al. 2000; Wright et al. 2000; Zanne et al. 2009; Gallagher and Leishman 2012; Gleason et al. 2012; Kooyman et al. 2013)", "plainTextFormattedCitation"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et al. 2000; Wright et al. 2000; Zanne et al. 2009; Gallagher &amp; Leishman 2012; Gleason et al. 2012; Kooyman et al. 2013)", "previouslyFormattedCitation"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 "properties" : { "noteIndex" : 0 }, "schema" : "https://github.com/citation-style-language/schema/raw/master/csl-citation.json" }</w:instrText>
      </w:r>
      <w:r w:rsidR="00F32B51">
        <w:fldChar w:fldCharType="separate"/>
      </w:r>
      <w:r w:rsidR="00F32B51" w:rsidRPr="00F32B51">
        <w:rPr>
          <w:noProof/>
        </w:rPr>
        <w:t>(PlantNET</w:t>
      </w:r>
      <w:r w:rsidR="00F32B51">
        <w:rPr>
          <w:noProof/>
        </w:rPr>
        <w:t xml:space="preserve"> (2015)</w:t>
      </w:r>
      <w:r w:rsidR="00F32B51" w:rsidRPr="00F32B51">
        <w:rPr>
          <w:noProof/>
        </w:rPr>
        <w:t xml:space="preserve">, </w:t>
      </w:r>
      <w:r w:rsidR="00F32B51">
        <w:rPr>
          <w:noProof/>
        </w:rPr>
        <w:t>KewSID (</w:t>
      </w:r>
      <w:r w:rsidR="00F32B51" w:rsidRPr="00F32B51">
        <w:rPr>
          <w:noProof/>
        </w:rPr>
        <w:t>2015</w:t>
      </w:r>
      <w:r w:rsidR="00F32B51">
        <w:rPr>
          <w:noProof/>
        </w:rPr>
        <w:t>)</w:t>
      </w:r>
      <w:r w:rsidR="00F32B51" w:rsidRPr="00F32B51">
        <w:rPr>
          <w:noProof/>
        </w:rPr>
        <w:t>; Fonseca et al. 2000; Wright et al. 2000; Zanne et al. 2009; Gallagher and Leishman 2012; Gleason et al. 2012; Kooyman et al. 2013)</w:t>
      </w:r>
      <w:r w:rsidR="00F32B51">
        <w:fldChar w:fldCharType="end"/>
      </w:r>
      <w:r>
        <w:t xml:space="preserve"> as well as from Ian Wright (pers. comm.) and Cassandra James (pers. comm.).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00F32B51">
        <w:fldChar w:fldCharType="begin" w:fldLock="1"/>
      </w:r>
      <w:r w:rsidR="00370EFC">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F32B51">
        <w:fldChar w:fldCharType="separate"/>
      </w:r>
      <w:r w:rsidR="00370EFC" w:rsidRPr="00370EFC">
        <w:rPr>
          <w:noProof/>
        </w:rPr>
        <w:t xml:space="preserve">(Penone </w:t>
      </w:r>
      <w:r w:rsidR="00370EFC" w:rsidRPr="00370EFC">
        <w:rPr>
          <w:i/>
          <w:noProof/>
        </w:rPr>
        <w:t>et al.</w:t>
      </w:r>
      <w:r w:rsidR="00370EFC" w:rsidRPr="00370EFC">
        <w:rPr>
          <w:noProof/>
        </w:rPr>
        <w:t xml:space="preserve"> 2014)</w:t>
      </w:r>
      <w:r w:rsidR="00F32B51">
        <w:fldChar w:fldCharType="end"/>
      </w:r>
      <w:r>
        <w:t>, only species with fewer than 3 missing trait values (174 / 260) were retained for the analysis. The remaining missing values were imputed using a non-parametric random forests approach (missForest package for R)</w:t>
      </w:r>
      <w:r w:rsidR="00F32B51">
        <w:t xml:space="preserve"> </w:t>
      </w:r>
      <w:r w:rsidR="00F32B51">
        <w:fldChar w:fldCharType="begin" w:fldLock="1"/>
      </w:r>
      <w:r w:rsidR="00370EFC">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"plainTextFormattedCitation" : "(Stekhoven &amp; Buhlmann 2012)", "previouslyFormattedCitation" : "(Stekhoven &amp; Buhlmann 2012)" }, "properties" : { "noteIndex" : 0 }, "schema" : "https://github.com/citation-style-language/schema/raw/master/csl-citation.json" }</w:instrText>
      </w:r>
      <w:r w:rsidR="00F32B51">
        <w:fldChar w:fldCharType="separate"/>
      </w:r>
      <w:r w:rsidR="00370EFC" w:rsidRPr="00370EFC">
        <w:rPr>
          <w:noProof/>
        </w:rPr>
        <w:t>(Stekhoven &amp; Buhlmann 2012)</w:t>
      </w:r>
      <w:r w:rsidR="00F32B51">
        <w:fldChar w:fldCharType="end"/>
      </w:r>
      <w:r w:rsidR="00F32B51">
        <w:t>.</w:t>
      </w:r>
      <w:r>
        <w:t xml:space="preserve"> Dataset density information and imputation error estimates can be found in the </w:t>
      </w:r>
      <w:r w:rsidR="00743CB1">
        <w:t>Supporting</w:t>
      </w:r>
      <w:r>
        <w:t xml:space="preserve"> Information S1.</w:t>
      </w:r>
    </w:p>
    <w:p w14:paraId="168E1152" w14:textId="752F3BE2" w:rsidR="00A2399D" w:rsidRPr="00A2399D" w:rsidRDefault="00A2399D" w:rsidP="00FF6B5C">
      <w:pPr>
        <w:spacing w:line="360" w:lineRule="auto"/>
        <w:jc w:val="both"/>
        <w:rPr>
          <w:i/>
        </w:rPr>
      </w:pPr>
      <w:r w:rsidRPr="00A2399D">
        <w:rPr>
          <w:i/>
        </w:rPr>
        <w:t>Calculating functional diversity and species richness</w:t>
      </w:r>
    </w:p>
    <w:p w14:paraId="712D14B9" w14:textId="1D9426CC" w:rsidR="00A2399D" w:rsidRDefault="00A2399D" w:rsidP="00FF6B5C">
      <w:pPr>
        <w:spacing w:line="360" w:lineRule="auto"/>
        <w:jc w:val="both"/>
      </w:pPr>
      <w:r>
        <w:t xml:space="preserve">Functional richness (FRic) and functional divergence (FDiv) are complementary metrics of functional trait diversity, which together, describe the range and distribution of trait values in a community </w:t>
      </w:r>
      <w:r>
        <w:fldChar w:fldCharType="begin" w:fldLock="1"/>
      </w:r>
      <w:r w:rsidR="00370EF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00370EFC" w:rsidRPr="00370EFC">
        <w:rPr>
          <w:noProof/>
        </w:rPr>
        <w:t>(Villéger, Mason &amp; Mouillot 2008)</w:t>
      </w:r>
      <w:r>
        <w:fldChar w:fldCharType="end"/>
      </w:r>
      <w:r>
        <w:t xml:space="preserve">. Functional evenness is also included in the framework introduced by Villéger et al. (2008) but has since shown limited ability to describe change in functional </w:t>
      </w:r>
      <w:r>
        <w:lastRenderedPageBreak/>
        <w:t xml:space="preserve">composition across environmental gradients </w:t>
      </w:r>
      <w:r>
        <w:fldChar w:fldCharType="begin" w:fldLock="1"/>
      </w:r>
      <w:r w:rsidR="00370EFC">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fldChar w:fldCharType="separate"/>
      </w:r>
      <w:r w:rsidR="00370EFC" w:rsidRPr="00370EFC">
        <w:rPr>
          <w:noProof/>
        </w:rPr>
        <w:t xml:space="preserve">(Pavoine &amp; Bonsall 2011; Mason </w:t>
      </w:r>
      <w:r w:rsidR="00370EFC" w:rsidRPr="00370EFC">
        <w:rPr>
          <w:i/>
          <w:noProof/>
        </w:rPr>
        <w:t>et al.</w:t>
      </w:r>
      <w:r w:rsidR="00370EFC" w:rsidRPr="00370EFC">
        <w:rPr>
          <w:noProof/>
        </w:rPr>
        <w:t xml:space="preserve"> 2012)</w:t>
      </w:r>
      <w:r>
        <w:fldChar w:fldCharType="end"/>
      </w:r>
      <w:r>
        <w:t>. FRic represents the volume of the convex hull of trait values in a given community while FDiv provides information about the abundance distribution of trait values across this range.</w:t>
      </w:r>
    </w:p>
    <w:p w14:paraId="1478179E" w14:textId="31F9024D" w:rsidR="00A2399D" w:rsidRDefault="00A2399D" w:rsidP="00FF6B5C">
      <w:pPr>
        <w:spacing w:line="360" w:lineRule="auto"/>
        <w:jc w:val="both"/>
      </w:pPr>
      <w:r>
        <w:t xml:space="preserve">We calculated functional richness and abundance-weighted functional dispersion (FDis) of vegetation communities at each site, using the FD package for R </w:t>
      </w:r>
      <w:r>
        <w:fldChar w:fldCharType="begin" w:fldLock="1"/>
      </w:r>
      <w:r w:rsidR="00370EF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70EFC" w:rsidRPr="00370EFC">
        <w:rPr>
          <w:noProof/>
        </w:rPr>
        <w:t>(Laliberté &amp; Legendre 2010)</w:t>
      </w:r>
      <w:r>
        <w:fldChar w:fldCharType="end"/>
      </w:r>
      <w:r>
        <w:t xml:space="preserve">. Gower’s method, which scales traits by their range, was used to generate the required dissimilarity matrix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"plainTextFormattedCitation" : "(Gower 1971)", "previouslyFormattedCitation" : "(Gower 1971)" }, "properties" : { "noteIndex" : 0 }, "schema" : "https://github.com/citation-style-language/schema/raw/master/csl-citation.json" }</w:instrText>
      </w:r>
      <w:r>
        <w:fldChar w:fldCharType="separate"/>
      </w:r>
      <w:r w:rsidRPr="00A2399D">
        <w:rPr>
          <w:noProof/>
        </w:rPr>
        <w:t>(Gower 1971)</w:t>
      </w:r>
      <w:r>
        <w:fldChar w:fldCharType="end"/>
      </w:r>
      <w:r>
        <w:t xml:space="preserve">, and Cailliez's correction was applied to allow for PCoA axes corresponding to negative eigenvalues and render the matrix Euclidean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2399D">
        <w:rPr>
          <w:noProof/>
        </w:rPr>
        <w:t>(Cailliez 1983)</w:t>
      </w:r>
      <w:r>
        <w:fldChar w:fldCharType="end"/>
      </w:r>
      <w:r>
        <w:t xml:space="preserve">.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fldChar w:fldCharType="begin" w:fldLock="1"/>
      </w:r>
      <w:r w:rsidR="00370EFC">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fldChar w:fldCharType="separate"/>
      </w:r>
      <w:r w:rsidR="00370EFC" w:rsidRPr="00370EFC">
        <w:rPr>
          <w:noProof/>
        </w:rPr>
        <w:t>(Gotelli &amp; Rohde 2002)</w:t>
      </w:r>
      <w:r>
        <w:fldChar w:fldCharType="end"/>
      </w:r>
      <w:r>
        <w:t xml:space="preserve">. The null model for comparison with FRic was generated using the trial-swap algorithm </w:t>
      </w:r>
      <w:r>
        <w:fldChar w:fldCharType="begin" w:fldLock="1"/>
      </w:r>
      <w:r w:rsidR="00370EFC">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fldChar w:fldCharType="separate"/>
      </w:r>
      <w:r w:rsidR="00370EFC" w:rsidRPr="00370EFC">
        <w:rPr>
          <w:noProof/>
        </w:rPr>
        <w:t>(Miklós &amp; Podani 2004)</w:t>
      </w:r>
      <w:r>
        <w:fldChar w:fldCharType="end"/>
      </w:r>
      <w:r>
        <w:t xml:space="preserve"> in the picante package</w:t>
      </w:r>
      <w:r w:rsidR="004A43C1">
        <w:t xml:space="preserve"> </w:t>
      </w:r>
      <w:r w:rsidR="004A43C1">
        <w:fldChar w:fldCharType="begin" w:fldLock="1"/>
      </w:r>
      <w:r w:rsidR="00370EFC">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4A43C1">
        <w:fldChar w:fldCharType="separate"/>
      </w:r>
      <w:r w:rsidR="00370EFC" w:rsidRPr="00370EFC">
        <w:rPr>
          <w:noProof/>
        </w:rPr>
        <w:t xml:space="preserve">(Kembel </w:t>
      </w:r>
      <w:r w:rsidR="00370EFC" w:rsidRPr="00370EFC">
        <w:rPr>
          <w:i/>
          <w:noProof/>
        </w:rPr>
        <w:t>et al.</w:t>
      </w:r>
      <w:r w:rsidR="00370EFC" w:rsidRPr="00370EFC">
        <w:rPr>
          <w:noProof/>
        </w:rPr>
        <w:t xml:space="preserve"> 2010)</w:t>
      </w:r>
      <w:r w:rsidR="004A43C1">
        <w:fldChar w:fldCharType="end"/>
      </w:r>
      <w:r>
        <w:t xml:space="preserve"> to remove dependence on species richness. The null model for comparison with FDis was generated by randomizing abundances among species but wi</w:t>
      </w:r>
      <w:r w:rsidR="004A43C1">
        <w:t>thin plots (using the resamp.2s</w:t>
      </w:r>
      <w:r>
        <w:t xml:space="preserve"> function in spacodiR)</w:t>
      </w:r>
      <w:r w:rsidR="004A43C1">
        <w:t xml:space="preserve"> </w:t>
      </w:r>
      <w:r w:rsidR="004A43C1">
        <w:fldChar w:fldCharType="begin" w:fldLock="1"/>
      </w:r>
      <w:r w:rsidR="00370EFC">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4A43C1">
        <w:fldChar w:fldCharType="separate"/>
      </w:r>
      <w:r w:rsidR="00370EFC" w:rsidRPr="00370EFC">
        <w:rPr>
          <w:noProof/>
        </w:rPr>
        <w:t>(Eastman, Paine &amp; Hardy 2011)</w:t>
      </w:r>
      <w:r w:rsidR="004A43C1">
        <w:fldChar w:fldCharType="end"/>
      </w:r>
      <w:r>
        <w:t>, to generate a metric of pure functional divergence (FDiv). The resulting indices, FRic.SES and FDis.SES, have greater power to detect community assembly processes than their unstandardised counterparts or the metric of functional divergence defined by Villéger et al. (2008)</w:t>
      </w:r>
      <w:r w:rsidR="004A43C1">
        <w:t xml:space="preserve"> </w:t>
      </w:r>
      <w:r w:rsidR="004A43C1">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4A43C1">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4A43C1">
        <w:fldChar w:fldCharType="end"/>
      </w:r>
      <w:r w:rsidR="004A43C1">
        <w:t>.</w:t>
      </w:r>
    </w:p>
    <w:p w14:paraId="4146796B" w14:textId="141B6D0E" w:rsidR="00A2399D" w:rsidRDefault="00A2399D" w:rsidP="00FF6B5C">
      <w:pPr>
        <w:spacing w:line="360" w:lineRule="auto"/>
        <w:jc w:val="both"/>
      </w:pPr>
      <w:r>
        <w:t>To more closely comply with the assumptions of statistical tests, trait values were normalised by either log</w:t>
      </w:r>
      <w:r w:rsidR="004A43C1" w:rsidRPr="004A43C1">
        <w:rPr>
          <w:vertAlign w:val="subscript"/>
        </w:rPr>
        <w:t>10</w:t>
      </w:r>
      <w:r>
        <w:t xml:space="preserve"> (SLA, seed mass) or square root (leaf area, maximum height, flowering duration) transformation prior to analysis. Wood density was not transformed. Summary statistics for the trait dataset are shown in th</w:t>
      </w:r>
      <w:r w:rsidR="004A43C1">
        <w:t xml:space="preserve">e </w:t>
      </w:r>
      <w:r w:rsidR="00743CB1">
        <w:t>Supporting</w:t>
      </w:r>
      <w:r w:rsidR="004A43C1">
        <w:t xml:space="preserve"> Information S1.</w:t>
      </w:r>
    </w:p>
    <w:p w14:paraId="3125895C" w14:textId="7EF8F3C1" w:rsidR="004A43C1" w:rsidRDefault="00A2399D" w:rsidP="00FF6B5C">
      <w:pPr>
        <w:spacing w:line="360" w:lineRule="auto"/>
        <w:jc w:val="both"/>
      </w:pPr>
      <w:r>
        <w:t>True species richness values were estimated by rarefaction according to species accumulation across the three replicate transects taken a</w:t>
      </w:r>
      <w:r w:rsidR="004A43C1">
        <w:t>t each site. We used the chao1</w:t>
      </w:r>
      <w:r>
        <w:t xml:space="preserve"> function in the fossil package in R </w:t>
      </w:r>
      <w:r w:rsidR="004A43C1">
        <w:fldChar w:fldCharType="begin" w:fldLock="1"/>
      </w:r>
      <w:r w:rsidR="004A43C1">
        <w:instrText>ADDIN CSL_CITATION { "citationItems" : [ { "id" : "ITEM-1", "itemData" : { "author" : [ { "dropping-particle" : "", "family" : "Vavrek", "given" : "Matthew J", "non-dropping-particle" : "", "parse-names" : false, "suffix" : "" } ], "container-title" : "Palaeontologia Electronica", "id" : "ITEM-1", "issue" : "1", "issued" : { "date-parts" : [ [ "2011" ] ] }, "page" : "16", "title" : "Fossil: palaeoecological and palaeogeographical analysis tools", "type" : "article-journal", "volume" : "14" }, "uris" : [ "http://www.mendeley.com/documents/?uuid=6eacbec3-56b5-4e0c-86e7-dc13c7855d43" ] } ], "mendeley" : { "formattedCitation" : "(Vavrek 2011)", "plainTextFormattedCitation" : "(Vavrek 2011)", "previouslyFormattedCitation" : "(Vavrek 2011)" }, "properties" : { "noteIndex" : 0 }, "schema" : "https://github.com/citation-style-language/schema/raw/master/csl-citation.json" }</w:instrText>
      </w:r>
      <w:r w:rsidR="004A43C1">
        <w:fldChar w:fldCharType="separate"/>
      </w:r>
      <w:r w:rsidR="004A43C1" w:rsidRPr="004A43C1">
        <w:rPr>
          <w:noProof/>
        </w:rPr>
        <w:t>(Vavrek 2011)</w:t>
      </w:r>
      <w:r w:rsidR="004A43C1">
        <w:fldChar w:fldCharType="end"/>
      </w:r>
      <w:r>
        <w:t xml:space="preserve"> to calculate abundance-based Chao's Species Estimator </w:t>
      </w:r>
      <w:r w:rsidR="004A43C1">
        <w:fldChar w:fldCharType="begin" w:fldLock="1"/>
      </w:r>
      <w:r w:rsidR="004425F9">
        <w:instrText>ADDIN CSL_CITATION { "citationItems" : [ { "id" : "ITEM-1", "itemData" : { "author" : [ { "dropping-particle" : "", "family" : "Chao", "given" : "Anne", "non-dropping-particle" : "", "parse-names" : false, "suffix" : "" } ], "container-title" : "Biometrics", "id" : "ITEM-1", "issue" : "4", "issued" : { "date-parts" : [ [ "1987" ] ] }, "page" : "783-791", "title" : "Estimating the Population Size for Capture-Recapture Data with Unequal Catchability", "type" : "article-journal", "volume" : "43" }, "uris" : [ "http://www.mendeley.com/documents/?uuid=d4ca0a1b-80a6-4eaf-98ea-abe641300ce0" ] } ], "mendeley" : { "formattedCitation" : "(Chao 1987)", "plainTextFormattedCitation" : "(Chao 1987)", "previouslyFormattedCitation" : "(Chao 1987)" }, "properties" : { "noteIndex" : 0 }, "schema" : "https://github.com/citation-style-language/schema/raw/master/csl-citation.json" }</w:instrText>
      </w:r>
      <w:r w:rsidR="004A43C1">
        <w:fldChar w:fldCharType="separate"/>
      </w:r>
      <w:r w:rsidR="004A43C1" w:rsidRPr="004A43C1">
        <w:rPr>
          <w:noProof/>
        </w:rPr>
        <w:t>(Chao 1987)</w:t>
      </w:r>
      <w:r w:rsidR="004A43C1">
        <w:fldChar w:fldCharType="end"/>
      </w:r>
      <w:r w:rsidR="004A43C1">
        <w:t xml:space="preserve">. </w:t>
      </w:r>
    </w:p>
    <w:p w14:paraId="4442DC8A" w14:textId="287022E4" w:rsidR="00A2399D" w:rsidRPr="004A43C1" w:rsidRDefault="00A2399D" w:rsidP="00FF6B5C">
      <w:pPr>
        <w:spacing w:line="360" w:lineRule="auto"/>
        <w:jc w:val="both"/>
        <w:rPr>
          <w:i/>
        </w:rPr>
      </w:pPr>
      <w:r w:rsidRPr="004A43C1">
        <w:rPr>
          <w:i/>
        </w:rPr>
        <w:t>Constructi</w:t>
      </w:r>
      <w:r w:rsidR="004A43C1" w:rsidRPr="004A43C1">
        <w:rPr>
          <w:i/>
        </w:rPr>
        <w:t>ng variance partitioning models</w:t>
      </w:r>
    </w:p>
    <w:p w14:paraId="0ACA9852" w14:textId="3F0B27B1" w:rsidR="00A2399D" w:rsidRDefault="00A2399D" w:rsidP="00FF6B5C">
      <w:pPr>
        <w:spacing w:line="360" w:lineRule="auto"/>
        <w:jc w:val="both"/>
      </w:pPr>
      <w:r>
        <w:t>We used a variance partitioning approach to assess the individual contributions of river flow regime, flow modification, land use, climate and soil properties to modelling variation in riparian plant species richness, functional diversity. We also investigated exotic proportional abundance as an explanatory variable for species richness and functional diversity metrics. Proportional abundance of exotic species was calculated as the number of exotic individuals divided by the total number of in</w:t>
      </w:r>
      <w:r w:rsidR="004425F9">
        <w:t>dividuals counted at each site.</w:t>
      </w:r>
    </w:p>
    <w:p w14:paraId="1942362B" w14:textId="4D87CBA6" w:rsidR="00A2399D" w:rsidRDefault="00A2399D" w:rsidP="00FF6B5C">
      <w:pPr>
        <w:spacing w:line="360" w:lineRule="auto"/>
        <w:jc w:val="both"/>
      </w:pPr>
      <w:r>
        <w:lastRenderedPageBreak/>
        <w:t>The following process was used to derive an optimal set of environment-diversity models for variance partitioning analysis</w:t>
      </w:r>
      <w:r w:rsidR="004425F9">
        <w:t xml:space="preserve"> </w:t>
      </w:r>
      <w:r w:rsidR="004425F9">
        <w:fldChar w:fldCharType="begin" w:fldLock="1"/>
      </w:r>
      <w:r w:rsidR="004425F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004425F9">
        <w:fldChar w:fldCharType="separate"/>
      </w:r>
      <w:r w:rsidR="004425F9" w:rsidRPr="004425F9">
        <w:rPr>
          <w:noProof/>
        </w:rPr>
        <w:t>(Legendre 2007)</w:t>
      </w:r>
      <w:r w:rsidR="004425F9">
        <w:fldChar w:fldCharType="end"/>
      </w:r>
      <w:r>
        <w:t>:</w:t>
      </w:r>
    </w:p>
    <w:p w14:paraId="492C89F4" w14:textId="72875F5C" w:rsidR="00A2399D" w:rsidRDefault="00A2399D" w:rsidP="00FF6B5C">
      <w:pPr>
        <w:spacing w:line="360" w:lineRule="auto"/>
        <w:jc w:val="both"/>
      </w:pPr>
      <w:r>
        <w:t xml:space="preserve">We first generated minimal multiple regression models for each set of environmental variables (i.e. descriptors of flow regime, flow modification, land use etc.): for each individual dependent variable, the full set of explanatory variables was reduced to the subset which showed </w:t>
      </w:r>
      <w:r w:rsidR="004425F9">
        <w:t>statistically significant (p &lt;</w:t>
      </w:r>
      <w:r>
        <w:t xml:space="preserve"> 0.05) linear or quadratic relationships. Second order AIC was used to determine whether the linear or quadratic term better explained variation in the dependent variable (MuMIn package for R) </w:t>
      </w:r>
      <w:r w:rsidR="004425F9">
        <w:fldChar w:fldCharType="begin" w:fldLock="1"/>
      </w:r>
      <w:r w:rsidR="00370EFC">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"id" : "ITEM-2", "itemData" : { "author" : [ { "dropping-particle" : "", "family" : "Burnham", "given" : "Kenneth P", "non-dropping-particle" : "", "parse-names" : false, "suffix" : "" }, { "dropping-particle" : "", "family" : "Anderson", "given" : "David R", "non-dropping-particle" : "", "parse-names" : false, "suffix" : "" } ], "id" : "ITEM-2",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Barton 2012)", "plainTextFormattedCitation" : "(Burnham &amp; Anderson 2002; Barton 2012)", "previouslyFormattedCitation" : "(Burnham &amp; Anderson 2002; Barton 2012)" }, "properties" : { "noteIndex" : 0 }, "schema" : "https://github.com/citation-style-language/schema/raw/master/csl-citation.json" }</w:instrText>
      </w:r>
      <w:r w:rsidR="004425F9">
        <w:fldChar w:fldCharType="separate"/>
      </w:r>
      <w:r w:rsidR="00370EFC" w:rsidRPr="00370EFC">
        <w:rPr>
          <w:noProof/>
        </w:rPr>
        <w:t>(Burnham &amp; Anderson 2002; Barton 2012)</w:t>
      </w:r>
      <w:r w:rsidR="004425F9">
        <w:fldChar w:fldCharType="end"/>
      </w:r>
      <w:r>
        <w:t>. For each set of environmental variables, variance explained by significant univariate models was partitioned by partial regression using the varpar</w:t>
      </w:r>
      <w:r w:rsidR="004425F9">
        <w:t xml:space="preserve">t function in R (vegan package) </w:t>
      </w:r>
      <w:r w:rsidR="004425F9">
        <w:fldChar w:fldCharType="begin" w:fldLock="1"/>
      </w:r>
      <w:r w:rsidR="00370EF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"plainTextFormattedCitation" : "(Oksanen et al. 2013)", "previouslyFormattedCitation" : "(Oksanen &lt;i&gt;et al.&lt;/i&gt; 2013)" }, "properties" : { "noteIndex" : 0 }, "schema" : "https://github.com/citation-style-language/schema/raw/master/csl-citation.json" }</w:instrText>
      </w:r>
      <w:r w:rsidR="004425F9">
        <w:fldChar w:fldCharType="separate"/>
      </w:r>
      <w:r w:rsidR="00370EFC" w:rsidRPr="00370EFC">
        <w:rPr>
          <w:noProof/>
        </w:rPr>
        <w:t xml:space="preserve">(Oksanen </w:t>
      </w:r>
      <w:r w:rsidR="00370EFC" w:rsidRPr="00370EFC">
        <w:rPr>
          <w:i/>
          <w:noProof/>
        </w:rPr>
        <w:t>et al.</w:t>
      </w:r>
      <w:r w:rsidR="00370EFC" w:rsidRPr="00370EFC">
        <w:rPr>
          <w:noProof/>
        </w:rPr>
        <w:t xml:space="preserve"> 2013)</w:t>
      </w:r>
      <w:r w:rsidR="004425F9">
        <w:fldChar w:fldCharType="end"/>
      </w:r>
      <w:r>
        <w:t xml:space="preserve"> Multiple regression models were derived from the combinations of variables with the highest adjusted R</w:t>
      </w:r>
      <w:r w:rsidR="004425F9" w:rsidRPr="004425F9">
        <w:rPr>
          <w:vertAlign w:val="superscript"/>
        </w:rPr>
        <w:t>2</w:t>
      </w:r>
      <w:r>
        <w:t xml:space="preserve"> values</w:t>
      </w:r>
      <w:r w:rsidR="004425F9">
        <w:t xml:space="preserve"> </w:t>
      </w:r>
      <w:r w:rsidR="004425F9">
        <w:fldChar w:fldCharType="begin" w:fldLock="1"/>
      </w:r>
      <w:r w:rsidR="00370EFC">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4425F9">
        <w:fldChar w:fldCharType="separate"/>
      </w:r>
      <w:r w:rsidR="00370EFC" w:rsidRPr="00370EFC">
        <w:rPr>
          <w:noProof/>
        </w:rPr>
        <w:t xml:space="preserve">(Peres-Neto </w:t>
      </w:r>
      <w:r w:rsidR="00370EFC" w:rsidRPr="00370EFC">
        <w:rPr>
          <w:i/>
          <w:noProof/>
        </w:rPr>
        <w:t>et al.</w:t>
      </w:r>
      <w:r w:rsidR="00370EFC" w:rsidRPr="00370EFC">
        <w:rPr>
          <w:noProof/>
        </w:rPr>
        <w:t xml:space="preserve"> 2006)</w:t>
      </w:r>
      <w:r w:rsidR="004425F9">
        <w:fldChar w:fldCharType="end"/>
      </w:r>
      <w:r>
        <w:t>. These multiple regression models optimally combine the variation explained by all</w:t>
      </w:r>
      <w:r w:rsidR="004425F9">
        <w:t xml:space="preserve"> significant univariate models.</w:t>
      </w:r>
    </w:p>
    <w:p w14:paraId="4CB5285C" w14:textId="3FD3F14D" w:rsidR="00A2399D" w:rsidRPr="00885149" w:rsidRDefault="00A2399D" w:rsidP="00FF6B5C">
      <w:pPr>
        <w:spacing w:line="360" w:lineRule="auto"/>
        <w:jc w:val="both"/>
      </w:pPr>
      <w:r w:rsidRPr="00885149">
        <w:t xml:space="preserve">The four best multiple regression models were fed into a second variance partitioning analysis, and adjusted </w:t>
      </w:r>
      <w:r w:rsidR="00B5731E" w:rsidRPr="00885149">
        <w:t>R</w:t>
      </w:r>
      <w:r w:rsidR="00B5731E" w:rsidRPr="00885149">
        <w:rPr>
          <w:vertAlign w:val="superscript"/>
        </w:rPr>
        <w:t>2</w:t>
      </w:r>
      <w:r w:rsidRPr="00885149">
        <w:t xml:space="preserve"> was used to estimate the proportion of variation jointly and independently explained by each environmental model.  </w:t>
      </w:r>
    </w:p>
    <w:p w14:paraId="5CDA3FA4" w14:textId="77777777" w:rsidR="00A2399D" w:rsidRDefault="00A2399D" w:rsidP="00FF6B5C">
      <w:pPr>
        <w:spacing w:line="360" w:lineRule="auto"/>
        <w:jc w:val="both"/>
      </w:pPr>
    </w:p>
    <w:p w14:paraId="7EBA8C28" w14:textId="77777777" w:rsidR="00FF6B5C" w:rsidRDefault="00FF6B5C" w:rsidP="00FF6B5C">
      <w:pPr>
        <w:spacing w:line="360" w:lineRule="auto"/>
        <w:jc w:val="both"/>
      </w:pPr>
    </w:p>
    <w:p w14:paraId="06A9C3A8" w14:textId="77777777" w:rsidR="00FF6B5C" w:rsidRDefault="00FF6B5C" w:rsidP="00FF6B5C">
      <w:pPr>
        <w:spacing w:line="360" w:lineRule="auto"/>
        <w:jc w:val="both"/>
      </w:pPr>
    </w:p>
    <w:p w14:paraId="4DC761FA" w14:textId="77777777" w:rsidR="00FF6B5C" w:rsidRDefault="00FF6B5C" w:rsidP="00FF6B5C">
      <w:pPr>
        <w:spacing w:line="360" w:lineRule="auto"/>
        <w:jc w:val="both"/>
      </w:pPr>
    </w:p>
    <w:p w14:paraId="0E762A39" w14:textId="77777777" w:rsidR="00FF6B5C" w:rsidRDefault="00FF6B5C" w:rsidP="00FF6B5C">
      <w:pPr>
        <w:spacing w:line="360" w:lineRule="auto"/>
        <w:jc w:val="both"/>
      </w:pPr>
    </w:p>
    <w:p w14:paraId="00055ADF" w14:textId="77777777" w:rsidR="00FF6B5C" w:rsidRDefault="00FF6B5C" w:rsidP="00FF6B5C">
      <w:pPr>
        <w:spacing w:line="360" w:lineRule="auto"/>
        <w:jc w:val="both"/>
      </w:pPr>
    </w:p>
    <w:p w14:paraId="151DA40B" w14:textId="77777777" w:rsidR="00FF6B5C" w:rsidRDefault="00FF6B5C" w:rsidP="00FF6B5C">
      <w:pPr>
        <w:spacing w:line="360" w:lineRule="auto"/>
        <w:jc w:val="both"/>
      </w:pPr>
    </w:p>
    <w:p w14:paraId="43DEC543" w14:textId="77777777" w:rsidR="00FF6B5C" w:rsidRDefault="00FF6B5C" w:rsidP="00FF6B5C">
      <w:pPr>
        <w:spacing w:line="360" w:lineRule="auto"/>
        <w:jc w:val="both"/>
      </w:pPr>
    </w:p>
    <w:p w14:paraId="5DFE080A" w14:textId="77777777" w:rsidR="00FF6B5C" w:rsidRDefault="00FF6B5C" w:rsidP="00FF6B5C">
      <w:pPr>
        <w:spacing w:line="360" w:lineRule="auto"/>
        <w:jc w:val="both"/>
      </w:pPr>
    </w:p>
    <w:p w14:paraId="3DF3B3BB" w14:textId="77777777" w:rsidR="00FF6B5C" w:rsidRDefault="00FF6B5C" w:rsidP="00FF6B5C">
      <w:pPr>
        <w:spacing w:line="360" w:lineRule="auto"/>
        <w:jc w:val="both"/>
      </w:pPr>
    </w:p>
    <w:p w14:paraId="7744E5F5" w14:textId="77777777" w:rsidR="00FF6B5C" w:rsidRPr="00885149" w:rsidRDefault="00FF6B5C" w:rsidP="00FF6B5C">
      <w:pPr>
        <w:spacing w:line="360" w:lineRule="auto"/>
        <w:jc w:val="both"/>
      </w:pPr>
    </w:p>
    <w:p w14:paraId="3BC857D6" w14:textId="270913BC" w:rsidR="00A2399D" w:rsidRPr="00885149" w:rsidRDefault="00885149" w:rsidP="00FF6B5C">
      <w:pPr>
        <w:spacing w:line="360" w:lineRule="auto"/>
        <w:jc w:val="both"/>
      </w:pPr>
      <w:r w:rsidRPr="00885149">
        <w:t>RESULTS</w:t>
      </w:r>
    </w:p>
    <w:p w14:paraId="0FDE7DBE" w14:textId="77777777" w:rsidR="00A2399D" w:rsidRPr="00885149" w:rsidRDefault="00A2399D" w:rsidP="00FF6B5C">
      <w:pPr>
        <w:spacing w:line="360" w:lineRule="auto"/>
        <w:jc w:val="both"/>
      </w:pPr>
      <w:r w:rsidRPr="00885149">
        <w:lastRenderedPageBreak/>
        <w:t xml:space="preserve">Below we describe the patterns of variation in species richness, functional richness and functional dispersion of riparian plant communities, as they relate to metrics describing river hydrology, flow modification, land use, climate and soil properties.  </w:t>
      </w:r>
    </w:p>
    <w:p w14:paraId="129E69C4" w14:textId="03BDA731" w:rsidR="00A2399D" w:rsidRDefault="00A2399D" w:rsidP="00FF6B5C">
      <w:pPr>
        <w:spacing w:line="360" w:lineRule="auto"/>
        <w:jc w:val="both"/>
      </w:pPr>
      <w:r w:rsidRPr="00885149">
        <w:t xml:space="preserve">Due to considerable collinearity in the environmental dataset, description of univariate relationships is generally limited here to variables selected by variance partitioning for inclusion in the final multiple regression models. Statistics for the all statistically significant univariate regression models can be found in the </w:t>
      </w:r>
      <w:r w:rsidR="00743CB1">
        <w:t>Supporting</w:t>
      </w:r>
      <w:r w:rsidRPr="00885149">
        <w:t xml:space="preserve"> Information S2. The adj. </w:t>
      </w:r>
      <w:r w:rsidR="00B5731E" w:rsidRPr="00885149">
        <w:t>R</w:t>
      </w:r>
      <w:r w:rsidR="00B5731E" w:rsidRPr="00885149">
        <w:rPr>
          <w:vertAlign w:val="superscript"/>
        </w:rPr>
        <w:t>2</w:t>
      </w:r>
      <w:r w:rsidRPr="00885149">
        <w:t xml:space="preserve"> value shown in variance partitioning Venn diagrams (Figs </w:t>
      </w:r>
      <w:r w:rsidR="004425F9" w:rsidRPr="00885149">
        <w:t>2-4</w:t>
      </w:r>
      <w:r w:rsidRPr="00885149">
        <w:t xml:space="preserve">b) may not correspond directly to the sum of its fractions as represented in Figs </w:t>
      </w:r>
      <w:r w:rsidR="004425F9" w:rsidRPr="00885149">
        <w:t>2-4</w:t>
      </w:r>
      <w:r w:rsidRPr="00885149">
        <w:t xml:space="preserve">a., as negative </w:t>
      </w:r>
      <w:r w:rsidR="00B5731E" w:rsidRPr="00885149">
        <w:t>R</w:t>
      </w:r>
      <w:r w:rsidR="00B5731E" w:rsidRPr="00885149">
        <w:rPr>
          <w:vertAlign w:val="superscript"/>
        </w:rPr>
        <w:t>2</w:t>
      </w:r>
      <w:r w:rsidRPr="00885149">
        <w:t xml:space="preserve"> values (not shown in Figs </w:t>
      </w:r>
      <w:r w:rsidR="004425F9" w:rsidRPr="00885149">
        <w:t>2-4</w:t>
      </w:r>
      <w:r w:rsidRPr="00885149">
        <w:t xml:space="preserve">a) can result from the adjustment algorithm. All </w:t>
      </w:r>
      <w:r w:rsidR="00B5731E" w:rsidRPr="00885149">
        <w:t>R</w:t>
      </w:r>
      <w:r w:rsidR="00B5731E" w:rsidRPr="00885149">
        <w:rPr>
          <w:vertAlign w:val="superscript"/>
        </w:rPr>
        <w:t>2</w:t>
      </w:r>
      <w:r w:rsidRPr="00885149">
        <w:t xml:space="preserve"> values given in the text are adjusted </w:t>
      </w:r>
      <w:r w:rsidR="00B5731E" w:rsidRPr="00885149">
        <w:t>R</w:t>
      </w:r>
      <w:r w:rsidR="00B5731E" w:rsidRPr="00885149">
        <w:rPr>
          <w:vertAlign w:val="superscript"/>
        </w:rPr>
        <w:t>2</w:t>
      </w:r>
      <w:r w:rsidRPr="00885149">
        <w:t>.</w:t>
      </w:r>
      <w:r w:rsidR="00FF6B5C">
        <w:t xml:space="preserve"> </w:t>
      </w:r>
    </w:p>
    <w:p w14:paraId="624C4C95" w14:textId="2C41176F" w:rsidR="00A2399D" w:rsidRPr="004425F9" w:rsidRDefault="00A2399D" w:rsidP="00FF6B5C">
      <w:pPr>
        <w:spacing w:line="360" w:lineRule="auto"/>
        <w:jc w:val="both"/>
        <w:rPr>
          <w:i/>
        </w:rPr>
      </w:pPr>
      <w:r w:rsidRPr="004425F9">
        <w:rPr>
          <w:i/>
        </w:rPr>
        <w:t>Environmental drivers of variation in species richnes</w:t>
      </w:r>
      <w:r w:rsidR="004425F9" w:rsidRPr="004425F9">
        <w:rPr>
          <w:i/>
        </w:rPr>
        <w:t>s</w:t>
      </w:r>
    </w:p>
    <w:p w14:paraId="685721FC" w14:textId="37D1B40F" w:rsidR="00A2399D" w:rsidRDefault="00A2399D" w:rsidP="00FF6B5C">
      <w:pPr>
        <w:spacing w:line="360" w:lineRule="auto"/>
        <w:jc w:val="both"/>
      </w:pPr>
      <w:r>
        <w:t xml:space="preserve">The majority of variation in species richness across the study area (0.635) could be explained by a combination of models describing flow modification, climate and soil conditions (Fig. </w:t>
      </w:r>
      <w:r w:rsidR="004425F9">
        <w:t>2</w:t>
      </w:r>
      <w:r>
        <w:t>a,b). The hydrological model explained no variation in species richness independently. There was no significant relationship between total species richness per hectare and exotic species richness per hectare, and although species richness did decrease with exotic proportional abundance (</w:t>
      </w:r>
      <w:r w:rsidR="00B5731E">
        <w:t>R</w:t>
      </w:r>
      <w:r w:rsidR="00B5731E" w:rsidRPr="00B5731E">
        <w:rPr>
          <w:vertAlign w:val="superscript"/>
        </w:rPr>
        <w:t>2</w:t>
      </w:r>
      <w:r>
        <w:t xml:space="preserve">  </w:t>
      </w:r>
      <w:r w:rsidR="00B5731E">
        <w:t>=</w:t>
      </w:r>
      <w:r>
        <w:t xml:space="preserve"> 0.152) (see </w:t>
      </w:r>
      <w:r w:rsidR="00743CB1">
        <w:t>Supporting</w:t>
      </w:r>
      <w:r>
        <w:t xml:space="preserve"> Information S2), exotic abundance did not independently explain</w:t>
      </w:r>
      <w:r w:rsidR="004425F9">
        <w:t xml:space="preserve"> variation in species richness.</w:t>
      </w:r>
    </w:p>
    <w:p w14:paraId="60FF7DB3" w14:textId="600276A6" w:rsidR="00A2399D" w:rsidRDefault="00A2399D" w:rsidP="00FF6B5C">
      <w:pPr>
        <w:spacing w:line="360" w:lineRule="auto"/>
        <w:jc w:val="both"/>
      </w:pPr>
      <w:r>
        <w:t>A weak but significant model associated richer plant communities with sites which experienced unevenly distribut</w:t>
      </w:r>
      <w:r w:rsidR="004425F9">
        <w:t xml:space="preserve">ed patterns of minimum flows (C_MinM, </w:t>
      </w:r>
      <w:r w:rsidR="00B5731E">
        <w:t>R</w:t>
      </w:r>
      <w:r w:rsidR="00B5731E" w:rsidRPr="00B5731E">
        <w:rPr>
          <w:vertAlign w:val="superscript"/>
        </w:rPr>
        <w:t>2</w:t>
      </w:r>
      <w:r w:rsidR="004425F9">
        <w:t xml:space="preserve">  =</w:t>
      </w:r>
      <w:r>
        <w:t xml:space="preserve"> 0.098, Fig</w:t>
      </w:r>
      <w:r w:rsidR="00B5731E">
        <w:t>. 2</w:t>
      </w:r>
      <w:r>
        <w:t>c), and where those patterns tended to be consisten</w:t>
      </w:r>
      <w:r w:rsidR="00B5731E">
        <w:t>t between years (M</w:t>
      </w:r>
      <w:r>
        <w:t xml:space="preserve">_MinM, </w:t>
      </w:r>
      <w:r w:rsidR="00B5731E">
        <w:t>R</w:t>
      </w:r>
      <w:r w:rsidR="00B5731E" w:rsidRPr="00B5731E">
        <w:rPr>
          <w:vertAlign w:val="superscript"/>
        </w:rPr>
        <w:t>2</w:t>
      </w:r>
      <w:r>
        <w:t xml:space="preserve">  </w:t>
      </w:r>
      <w:r w:rsidR="00B5731E">
        <w:t>=</w:t>
      </w:r>
      <w:r>
        <w:t xml:space="preserve"> 0.130, Fig. </w:t>
      </w:r>
      <w:r w:rsidR="00B5731E">
        <w:t>2</w:t>
      </w:r>
      <w:r>
        <w:t>d). Greater interannual consistency in patterns of maximum flows was also associ</w:t>
      </w:r>
      <w:r w:rsidR="00B5731E">
        <w:t>ated with richer communities (M</w:t>
      </w:r>
      <w:r>
        <w:t xml:space="preserve">_MaxM, </w:t>
      </w:r>
      <w:r w:rsidR="00B5731E">
        <w:t>R</w:t>
      </w:r>
      <w:r w:rsidR="00B5731E" w:rsidRPr="00B5731E">
        <w:rPr>
          <w:vertAlign w:val="superscript"/>
        </w:rPr>
        <w:t>2</w:t>
      </w:r>
      <w:r>
        <w:t xml:space="preserve">  </w:t>
      </w:r>
      <w:r w:rsidR="00B5731E">
        <w:t>=</w:t>
      </w:r>
      <w:r>
        <w:t xml:space="preserve"> 0.207, Fig. </w:t>
      </w:r>
      <w:r w:rsidR="00B5731E">
        <w:t>2e</w:t>
      </w:r>
      <w:r>
        <w:t>, although a pair of sites caused the quadratic model to dip at the upper bounds of consistency. Variation in species richness was well explained by modification of seasonal consiste</w:t>
      </w:r>
      <w:r w:rsidR="00B5731E">
        <w:t>ncy of minimum flow patterns (M</w:t>
      </w:r>
      <w:r>
        <w:t xml:space="preserve">_MinM.mod, </w:t>
      </w:r>
      <w:r w:rsidR="00B5731E">
        <w:t>R</w:t>
      </w:r>
      <w:r w:rsidR="00B5731E" w:rsidRPr="00B5731E">
        <w:rPr>
          <w:vertAlign w:val="superscript"/>
        </w:rPr>
        <w:t>2</w:t>
      </w:r>
      <w:r>
        <w:t xml:space="preserve">  </w:t>
      </w:r>
      <w:r w:rsidR="00B5731E">
        <w:t>=</w:t>
      </w:r>
      <w:r>
        <w:t xml:space="preserve"> 0.342, Fig. </w:t>
      </w:r>
      <w:r w:rsidR="00B5731E">
        <w:t>2</w:t>
      </w:r>
      <w:r>
        <w:t>f), despite the relatively weak relationship</w:t>
      </w:r>
      <w:r w:rsidR="00B5731E">
        <w:t xml:space="preserve"> between species richness and M</w:t>
      </w:r>
      <w:r>
        <w:t>_MinM. A significant quadratic relationship was found between species richness and modification of seasonal consistenc</w:t>
      </w:r>
      <w:r w:rsidR="00B5731E">
        <w:t>y of maximum flow conditions (M</w:t>
      </w:r>
      <w:r>
        <w:t xml:space="preserve">_MaxM.mod, </w:t>
      </w:r>
      <w:r w:rsidR="00B5731E">
        <w:t>R</w:t>
      </w:r>
      <w:r w:rsidR="00B5731E" w:rsidRPr="00B5731E">
        <w:rPr>
          <w:vertAlign w:val="superscript"/>
        </w:rPr>
        <w:t>2</w:t>
      </w:r>
      <w:r>
        <w:t xml:space="preserve">  </w:t>
      </w:r>
      <w:r w:rsidR="00B5731E">
        <w:t>=</w:t>
      </w:r>
      <w:r>
        <w:t xml:space="preserve"> 0.243, Fig. </w:t>
      </w:r>
      <w:r w:rsidR="00B5731E">
        <w:t>2g)</w:t>
      </w:r>
      <w:r>
        <w:t>; in this case the relationship was corroborated b</w:t>
      </w:r>
      <w:r w:rsidR="00B5731E">
        <w:t>y a similar distribution over M</w:t>
      </w:r>
      <w:r>
        <w:t xml:space="preserve">_MaxM. Species richness declined with increasing interannual variability in baseflow index (CVAnnBFI.mod, </w:t>
      </w:r>
      <w:r w:rsidR="00B5731E">
        <w:t>R</w:t>
      </w:r>
      <w:r w:rsidR="00B5731E" w:rsidRPr="00B5731E">
        <w:rPr>
          <w:vertAlign w:val="superscript"/>
        </w:rPr>
        <w:t>2</w:t>
      </w:r>
      <w:r>
        <w:t xml:space="preserve">  </w:t>
      </w:r>
      <w:r w:rsidR="00B5731E">
        <w:t>=</w:t>
      </w:r>
      <w:r>
        <w:t xml:space="preserve"> 0.108, Fig</w:t>
      </w:r>
      <w:r w:rsidR="00B5731E">
        <w:t xml:space="preserve">. </w:t>
      </w:r>
      <w:r>
        <w:t>2h). With respect to climate, species richness was greater at sites which experienced hi</w:t>
      </w:r>
      <w:r w:rsidR="00B5731E">
        <w:t>gher rainfall in both dry (clim</w:t>
      </w:r>
      <w:r>
        <w:t xml:space="preserve">_pdry, </w:t>
      </w:r>
      <w:r w:rsidR="00B5731E">
        <w:t>R2</w:t>
      </w:r>
      <w:r>
        <w:t xml:space="preserve">  </w:t>
      </w:r>
      <w:r w:rsidR="00B5731E">
        <w:t>= 0.417, Fig. 3</w:t>
      </w:r>
      <w:r>
        <w:t>i) and wet seasons (clim</w:t>
      </w:r>
      <w:r w:rsidR="00B5731E">
        <w:t>_</w:t>
      </w:r>
      <w:r>
        <w:t xml:space="preserve">pwet, </w:t>
      </w:r>
      <w:r w:rsidR="00B5731E">
        <w:t>R</w:t>
      </w:r>
      <w:r w:rsidR="00B5731E" w:rsidRPr="00B5731E">
        <w:rPr>
          <w:vertAlign w:val="superscript"/>
        </w:rPr>
        <w:t>2</w:t>
      </w:r>
      <w:r>
        <w:t xml:space="preserve">  </w:t>
      </w:r>
      <w:r w:rsidR="00B5731E">
        <w:t>=</w:t>
      </w:r>
      <w:r>
        <w:t xml:space="preserve"> 0.465, Fig. </w:t>
      </w:r>
      <w:r w:rsidR="00B5731E">
        <w:t>2j</w:t>
      </w:r>
      <w:r>
        <w:t>), and declined as temperature seasonality increased (clim</w:t>
      </w:r>
      <w:r w:rsidR="00B5731E">
        <w:t>_</w:t>
      </w:r>
      <w:r>
        <w:t xml:space="preserve">tsea, </w:t>
      </w:r>
      <w:r w:rsidR="00B5731E">
        <w:t>R</w:t>
      </w:r>
      <w:r w:rsidR="00B5731E" w:rsidRPr="00B5731E">
        <w:rPr>
          <w:vertAlign w:val="superscript"/>
        </w:rPr>
        <w:t>2</w:t>
      </w:r>
      <w:r>
        <w:t xml:space="preserve">  </w:t>
      </w:r>
      <w:r w:rsidR="00B5731E">
        <w:t>=</w:t>
      </w:r>
      <w:r>
        <w:t xml:space="preserve"> 0.349, Fig. </w:t>
      </w:r>
      <w:r w:rsidR="00B5731E">
        <w:t>2</w:t>
      </w:r>
      <w:r>
        <w:t>k). Lower soil cation exchange capacity (soil</w:t>
      </w:r>
      <w:r w:rsidR="00B5731E">
        <w:t>_</w:t>
      </w:r>
      <w:r>
        <w:t xml:space="preserve">ece, </w:t>
      </w:r>
      <w:r w:rsidR="00B5731E">
        <w:t>R</w:t>
      </w:r>
      <w:r w:rsidR="00B5731E" w:rsidRPr="00B5731E">
        <w:rPr>
          <w:vertAlign w:val="superscript"/>
        </w:rPr>
        <w:t>2</w:t>
      </w:r>
      <w:r>
        <w:t xml:space="preserve">  </w:t>
      </w:r>
      <w:r w:rsidR="00B5731E">
        <w:t>=</w:t>
      </w:r>
      <w:r>
        <w:t xml:space="preserve"> 0.373, Fig. </w:t>
      </w:r>
      <w:r w:rsidR="00B5731E">
        <w:t>2</w:t>
      </w:r>
      <w:r>
        <w:t xml:space="preserve">l) and </w:t>
      </w:r>
      <w:r>
        <w:lastRenderedPageBreak/>
        <w:t>soil organic carbon content (soil</w:t>
      </w:r>
      <w:r w:rsidR="00B5731E">
        <w:t>_</w:t>
      </w:r>
      <w:r>
        <w:t xml:space="preserve">soc, </w:t>
      </w:r>
      <w:r w:rsidR="00B5731E">
        <w:t>R</w:t>
      </w:r>
      <w:r w:rsidR="00B5731E" w:rsidRPr="00B5731E">
        <w:rPr>
          <w:vertAlign w:val="superscript"/>
        </w:rPr>
        <w:t>2</w:t>
      </w:r>
      <w:r>
        <w:t xml:space="preserve">  </w:t>
      </w:r>
      <w:r w:rsidR="00B5731E">
        <w:t>=</w:t>
      </w:r>
      <w:r>
        <w:t xml:space="preserve"> 0.252, </w:t>
      </w:r>
      <w:r w:rsidRPr="00091170">
        <w:t xml:space="preserve">Fig. </w:t>
      </w:r>
      <w:r w:rsidR="00B5731E" w:rsidRPr="00091170">
        <w:t>2m</w:t>
      </w:r>
      <w:r>
        <w:t>) also were asso</w:t>
      </w:r>
      <w:r w:rsidR="00174AF5">
        <w:t>ciated with richer communities.</w:t>
      </w:r>
    </w:p>
    <w:p w14:paraId="2C8266B9" w14:textId="3A8B1FE7" w:rsidR="009661D7" w:rsidRDefault="00A2399D" w:rsidP="00FF6B5C">
      <w:pPr>
        <w:spacing w:line="360" w:lineRule="auto"/>
        <w:jc w:val="both"/>
      </w:pPr>
      <w:r>
        <w:t xml:space="preserve">The data did not support hypothesis 1, that rivers with more heterogeneous flow regimes support communities with higher species richness. In fact, greater species richness at sites which experienced less </w:t>
      </w:r>
      <w:r w:rsidR="00B5731E">
        <w:t>variability</w:t>
      </w:r>
      <w:r>
        <w:t xml:space="preserve"> in timing of minimum flow patterns (Fig. </w:t>
      </w:r>
      <w:r w:rsidR="00B5731E">
        <w:t>2</w:t>
      </w:r>
      <w:r>
        <w:t>d) supports the counter-argument - species richness here is associated with less flow heterogeneity. Hypothesis 2, that there is a unimodal relationship between species richness and flow heterogeneity, was supported by a single relationship (M</w:t>
      </w:r>
      <w:r w:rsidR="00B5731E">
        <w:t>_</w:t>
      </w:r>
      <w:r>
        <w:t xml:space="preserve">MaxM, Fig. </w:t>
      </w:r>
      <w:r w:rsidR="00B5731E">
        <w:t>2</w:t>
      </w:r>
      <w:r>
        <w:t>e), although the effect of modification of M</w:t>
      </w:r>
      <w:r w:rsidR="00B5731E">
        <w:t>_</w:t>
      </w:r>
      <w:r>
        <w:t>MaxM towards less flow heterogeneity was also strongly unimodal (M</w:t>
      </w:r>
      <w:r w:rsidR="00B5731E">
        <w:t>_</w:t>
      </w:r>
      <w:r>
        <w:t xml:space="preserve">MaxM.mod, Fig. </w:t>
      </w:r>
      <w:r w:rsidR="00B5731E">
        <w:t>2</w:t>
      </w:r>
      <w:r>
        <w:t>g). These results also contradict hypothesis 3 (that species richness and functional diversity should decrease along gradients of increasing flow modification and catchment land-use intensity), given that rivers with artificially increased consistency of minimum flow patterns (M</w:t>
      </w:r>
      <w:r w:rsidR="00B5731E">
        <w:t>_</w:t>
      </w:r>
      <w:r>
        <w:t xml:space="preserve">MinM.mod, Fig. </w:t>
      </w:r>
      <w:r w:rsidR="00B5731E">
        <w:t>2</w:t>
      </w:r>
      <w:r>
        <w:t xml:space="preserve">f) and lower interannual variability in baseflow index (CVAnnBFI.mod, Fig. </w:t>
      </w:r>
      <w:r w:rsidR="00B5731E">
        <w:t>2</w:t>
      </w:r>
      <w:r>
        <w:t>h) h</w:t>
      </w:r>
      <w:r w:rsidR="00FF6B5C">
        <w:t>osted richer plant communities.</w:t>
      </w:r>
    </w:p>
    <w:p w14:paraId="184D5590" w14:textId="05EEBA99" w:rsidR="004425F9" w:rsidRPr="00174AF5" w:rsidRDefault="004425F9" w:rsidP="00FF6B5C">
      <w:pPr>
        <w:spacing w:line="360" w:lineRule="auto"/>
        <w:jc w:val="both"/>
        <w:rPr>
          <w:i/>
        </w:rPr>
      </w:pPr>
      <w:r w:rsidRPr="00174AF5">
        <w:rPr>
          <w:i/>
        </w:rPr>
        <w:t>Environmental drivers of</w:t>
      </w:r>
      <w:r w:rsidR="00B5731E" w:rsidRPr="00174AF5">
        <w:rPr>
          <w:i/>
        </w:rPr>
        <w:t xml:space="preserve"> functional richness (FRic.SES)</w:t>
      </w:r>
    </w:p>
    <w:p w14:paraId="26AFA764" w14:textId="4BF2CD36" w:rsidR="004425F9" w:rsidRDefault="004425F9" w:rsidP="00FF6B5C">
      <w:pPr>
        <w:spacing w:line="360" w:lineRule="auto"/>
        <w:jc w:val="both"/>
      </w:pPr>
      <w:r>
        <w:t xml:space="preserve">Variation in FRic.SES was best explained by a combination of hydrological and soil models (variation explained by the combined model </w:t>
      </w:r>
      <w:r w:rsidR="00B5731E">
        <w:t>=</w:t>
      </w:r>
      <w:r>
        <w:t xml:space="preserve"> 0.405) (Fig. </w:t>
      </w:r>
      <w:r w:rsidR="00B5731E">
        <w:t>3</w:t>
      </w:r>
      <w:r>
        <w:t>a,b), of which the hydrological model gave the most explanatory power. Soil variables independently explained a small fraction of variation, and while flow modification and climatic variables were also associated with FRic.SES, neither model explaine</w:t>
      </w:r>
      <w:r w:rsidR="009661D7">
        <w:t xml:space="preserve">d any variation independently. </w:t>
      </w:r>
    </w:p>
    <w:p w14:paraId="394F2CA7" w14:textId="3E33BD54" w:rsidR="004425F9" w:rsidRDefault="004425F9" w:rsidP="00FF6B5C">
      <w:pPr>
        <w:spacing w:line="360" w:lineRule="auto"/>
        <w:jc w:val="both"/>
      </w:pPr>
      <w:r>
        <w:t xml:space="preserve">FRic.SES was distributed unimodally across gradients of interannual variability in baseflow index (CVAnnBFI, </w:t>
      </w:r>
      <w:r w:rsidR="00B5731E">
        <w:t>R</w:t>
      </w:r>
      <w:r w:rsidR="00B5731E" w:rsidRPr="00B5731E">
        <w:rPr>
          <w:vertAlign w:val="superscript"/>
        </w:rPr>
        <w:t>2</w:t>
      </w:r>
      <w:r>
        <w:t xml:space="preserve">  </w:t>
      </w:r>
      <w:r w:rsidR="00B5731E">
        <w:t>=</w:t>
      </w:r>
      <w:r>
        <w:t xml:space="preserve"> 0.170, Fig. </w:t>
      </w:r>
      <w:r w:rsidR="00B5731E">
        <w:t>3</w:t>
      </w:r>
      <w:r>
        <w:t xml:space="preserve">c); the modelled slope increased steeply at the lower end of the gradient but was only somewhat reduced from the peak by the top of the gradient. Greater frequency of high flow periods was associated with lower functional richness (MDFAnnHSNum, </w:t>
      </w:r>
      <w:r w:rsidR="00B5731E">
        <w:t>R</w:t>
      </w:r>
      <w:r w:rsidR="00B5731E" w:rsidRPr="00B5731E">
        <w:rPr>
          <w:vertAlign w:val="superscript"/>
        </w:rPr>
        <w:t>2</w:t>
      </w:r>
      <w:r>
        <w:t xml:space="preserve">  </w:t>
      </w:r>
      <w:r w:rsidR="00B5731E">
        <w:t>=</w:t>
      </w:r>
      <w:r>
        <w:t xml:space="preserve"> 0.142, Fig. </w:t>
      </w:r>
      <w:r w:rsidR="00B5731E">
        <w:t>3</w:t>
      </w:r>
      <w:r>
        <w:t>d). FRic.SES also declined as rainfall (clim</w:t>
      </w:r>
      <w:r w:rsidR="00B5731E">
        <w:t>_</w:t>
      </w:r>
      <w:r>
        <w:t xml:space="preserve">pwet, </w:t>
      </w:r>
      <w:r w:rsidR="00B5731E">
        <w:t>R</w:t>
      </w:r>
      <w:r w:rsidR="00B5731E" w:rsidRPr="00B5731E">
        <w:rPr>
          <w:vertAlign w:val="superscript"/>
        </w:rPr>
        <w:t>2</w:t>
      </w:r>
      <w:r>
        <w:t xml:space="preserve">  </w:t>
      </w:r>
      <w:r w:rsidR="00B5731E">
        <w:t>=</w:t>
      </w:r>
      <w:r>
        <w:t xml:space="preserve"> 0.246, Fig. </w:t>
      </w:r>
      <w:r w:rsidR="00B5731E">
        <w:t>3</w:t>
      </w:r>
      <w:r>
        <w:t>e), soil total nitrogen (soil</w:t>
      </w:r>
      <w:r w:rsidR="00B5731E">
        <w:t>_</w:t>
      </w:r>
      <w:r>
        <w:t xml:space="preserve">nto, </w:t>
      </w:r>
      <w:r w:rsidR="00B5731E">
        <w:t>R</w:t>
      </w:r>
      <w:r w:rsidR="00B5731E" w:rsidRPr="00B5731E">
        <w:rPr>
          <w:vertAlign w:val="superscript"/>
        </w:rPr>
        <w:t>2</w:t>
      </w:r>
      <w:r>
        <w:t xml:space="preserve">  </w:t>
      </w:r>
      <w:r w:rsidR="00B5731E">
        <w:t>=</w:t>
      </w:r>
      <w:r>
        <w:t xml:space="preserve"> 0.144, Fig. </w:t>
      </w:r>
      <w:r w:rsidR="00B5731E">
        <w:t>3</w:t>
      </w:r>
      <w:r>
        <w:t>f) and soil organic carbon (soil</w:t>
      </w:r>
      <w:r w:rsidR="00B5731E">
        <w:t>_</w:t>
      </w:r>
      <w:r>
        <w:t xml:space="preserve">soc, </w:t>
      </w:r>
      <w:r w:rsidR="00B5731E">
        <w:t>R</w:t>
      </w:r>
      <w:r w:rsidR="00B5731E" w:rsidRPr="00B5731E">
        <w:rPr>
          <w:vertAlign w:val="superscript"/>
        </w:rPr>
        <w:t>2</w:t>
      </w:r>
      <w:r>
        <w:t xml:space="preserve">  </w:t>
      </w:r>
      <w:r w:rsidR="00B5731E">
        <w:t>=</w:t>
      </w:r>
      <w:r>
        <w:t xml:space="preserve"> 0.257, Fig. </w:t>
      </w:r>
      <w:r w:rsidR="00B5731E">
        <w:t xml:space="preserve">3g) increased. </w:t>
      </w:r>
    </w:p>
    <w:p w14:paraId="3AC12373" w14:textId="6AE8E4F1" w:rsidR="009661D7" w:rsidRDefault="004425F9" w:rsidP="00FF6B5C">
      <w:pPr>
        <w:spacing w:line="360" w:lineRule="auto"/>
        <w:jc w:val="both"/>
      </w:pPr>
      <w:r>
        <w:t xml:space="preserve">Hypothesis 1 was not supported, given that reduced functional richness was associated with increasing frequency of high flows. Hypothesis 2 was supported by a significant unimodal relationship interannual variability in baseflow (Fig. </w:t>
      </w:r>
      <w:r w:rsidR="00B5731E">
        <w:t>3</w:t>
      </w:r>
      <w:r>
        <w:t xml:space="preserve">c) and functional richness (delta AICc between linear and quadratic models </w:t>
      </w:r>
      <w:r w:rsidR="00B5731E">
        <w:t>=</w:t>
      </w:r>
      <w:r>
        <w:t xml:space="preserve"> 3.70). Although not selected for the final hydrological model, mean and interannual variability in duration of high flow periods (HSMeanDur, CVAnnHSMeanDur) also showed significant unimodal relationships with FRic.SES (</w:t>
      </w:r>
      <w:r w:rsidR="00B5731E">
        <w:t>R</w:t>
      </w:r>
      <w:r w:rsidR="00B5731E" w:rsidRPr="00B5731E">
        <w:rPr>
          <w:vertAlign w:val="superscript"/>
        </w:rPr>
        <w:t>2</w:t>
      </w:r>
      <w:r>
        <w:t xml:space="preserve">  </w:t>
      </w:r>
      <w:r w:rsidR="00B5731E">
        <w:t>=</w:t>
      </w:r>
      <w:r>
        <w:t xml:space="preserve"> 0.213, 0.182, respectively; </w:t>
      </w:r>
      <w:r w:rsidR="00743CB1">
        <w:t>Supporting</w:t>
      </w:r>
      <w:r>
        <w:t xml:space="preserve"> Information S2). Hypothesis 3 was not supported: we found no effect of either land use or flow </w:t>
      </w:r>
      <w:r>
        <w:lastRenderedPageBreak/>
        <w:t xml:space="preserve">modification on functional richness, except a weak relationship with modification of dry season mean daily flow </w:t>
      </w:r>
      <w:r w:rsidR="00FF6B5C">
        <w:t>(</w:t>
      </w:r>
      <w:r w:rsidR="00743CB1">
        <w:t>Supporting</w:t>
      </w:r>
      <w:r w:rsidR="00FF6B5C">
        <w:t xml:space="preserve"> Information S2).</w:t>
      </w:r>
    </w:p>
    <w:p w14:paraId="41801655" w14:textId="7C3B5DA8" w:rsidR="004425F9" w:rsidRPr="00B5731E" w:rsidRDefault="004425F9" w:rsidP="00FF6B5C">
      <w:pPr>
        <w:spacing w:line="360" w:lineRule="auto"/>
        <w:jc w:val="both"/>
        <w:rPr>
          <w:i/>
        </w:rPr>
      </w:pPr>
      <w:r w:rsidRPr="00B5731E">
        <w:rPr>
          <w:i/>
        </w:rPr>
        <w:t>Environmental drivers of f</w:t>
      </w:r>
      <w:r w:rsidR="00B5731E" w:rsidRPr="00B5731E">
        <w:rPr>
          <w:i/>
        </w:rPr>
        <w:t>unctional divergence (FDis.SES)</w:t>
      </w:r>
    </w:p>
    <w:p w14:paraId="2747EB5D" w14:textId="5270C9BE" w:rsidR="004425F9" w:rsidRDefault="004425F9" w:rsidP="00FF6B5C">
      <w:pPr>
        <w:spacing w:line="360" w:lineRule="auto"/>
        <w:jc w:val="both"/>
      </w:pPr>
      <w:r>
        <w:t>FDis.SES varied substantially across the study area (3.96 standard deviations of the null distribution), and was associated with gradients of hydrology, flow modification, climatic and soil conditions. The soil model explained 0.483 of the variation in FDis.SES; hydrology, flow modification and climatic models did not independently explain further variati</w:t>
      </w:r>
      <w:r w:rsidR="00B5731E">
        <w:t xml:space="preserve">on (Fig. 4a,b). </w:t>
      </w:r>
    </w:p>
    <w:p w14:paraId="2EF1FEBC" w14:textId="41B71A8E" w:rsidR="004425F9" w:rsidRDefault="004425F9" w:rsidP="00FF6B5C">
      <w:pPr>
        <w:spacing w:line="360" w:lineRule="auto"/>
        <w:jc w:val="both"/>
      </w:pPr>
      <w:r>
        <w:t>Rivers with moderate seasonality of maximum flows tended to support communities with high functional divergence (C</w:t>
      </w:r>
      <w:r w:rsidR="00B5731E">
        <w:t>_</w:t>
      </w:r>
      <w:r>
        <w:t xml:space="preserve">MaxM, </w:t>
      </w:r>
      <w:r w:rsidR="00B5731E">
        <w:t>R</w:t>
      </w:r>
      <w:r w:rsidR="00B5731E" w:rsidRPr="00B5731E">
        <w:rPr>
          <w:vertAlign w:val="superscript"/>
        </w:rPr>
        <w:t>2</w:t>
      </w:r>
      <w:r>
        <w:t xml:space="preserve">  </w:t>
      </w:r>
      <w:r w:rsidR="00B5731E">
        <w:t>=</w:t>
      </w:r>
      <w:r>
        <w:t xml:space="preserve"> 0.321, Fig. </w:t>
      </w:r>
      <w:r w:rsidR="00B5731E">
        <w:t>4</w:t>
      </w:r>
      <w:r>
        <w:t>c). The entire range of FDis.SES was represented by rivers associated with highly seasonal patterns of maximum flows (C</w:t>
      </w:r>
      <w:r w:rsidR="00B5731E">
        <w:t>_</w:t>
      </w:r>
      <w:r>
        <w:t xml:space="preserve">MaxM), however. As with functional richness, FDis.SES declined with increasing frequency of high flows (MDFAnnHSNum, </w:t>
      </w:r>
      <w:r w:rsidR="00B5731E">
        <w:t>R</w:t>
      </w:r>
      <w:r w:rsidR="00B5731E" w:rsidRPr="00B5731E">
        <w:rPr>
          <w:vertAlign w:val="superscript"/>
        </w:rPr>
        <w:t>2</w:t>
      </w:r>
      <w:r>
        <w:t xml:space="preserve">  </w:t>
      </w:r>
      <w:r w:rsidR="00B5731E">
        <w:t>=</w:t>
      </w:r>
      <w:r>
        <w:t xml:space="preserve"> 0.112, Fig. </w:t>
      </w:r>
      <w:r w:rsidR="00B5731E">
        <w:t>4</w:t>
      </w:r>
      <w:r>
        <w:t xml:space="preserve">d). Functional divergence also varied with flow modification affecting high flow frequency (MDFAnnHSNum.mod, </w:t>
      </w:r>
      <w:r w:rsidR="00B5731E">
        <w:t>R</w:t>
      </w:r>
      <w:r w:rsidR="00B5731E" w:rsidRPr="00B5731E">
        <w:rPr>
          <w:vertAlign w:val="superscript"/>
        </w:rPr>
        <w:t>2</w:t>
      </w:r>
      <w:r>
        <w:t xml:space="preserve">  </w:t>
      </w:r>
      <w:r w:rsidR="00B5731E">
        <w:t>=</w:t>
      </w:r>
      <w:r>
        <w:t xml:space="preserve"> 0.144, Fig. </w:t>
      </w:r>
      <w:r w:rsidR="00B5731E">
        <w:t>4</w:t>
      </w:r>
      <w:r>
        <w:t>e): lower flooding frequency tended to be associated with higher functional divergence. Also tracking trends observed for FRic.SES, FDis.SES declined with increasing rainfall (clim</w:t>
      </w:r>
      <w:r w:rsidR="00B5731E">
        <w:t>_</w:t>
      </w:r>
      <w:r>
        <w:t xml:space="preserve">pwet, </w:t>
      </w:r>
      <w:r w:rsidR="00B5731E">
        <w:t>R</w:t>
      </w:r>
      <w:r w:rsidR="00B5731E" w:rsidRPr="00B5731E">
        <w:rPr>
          <w:vertAlign w:val="superscript"/>
        </w:rPr>
        <w:t>2</w:t>
      </w:r>
      <w:r>
        <w:t xml:space="preserve">  </w:t>
      </w:r>
      <w:r w:rsidR="00B5731E">
        <w:t>=</w:t>
      </w:r>
      <w:r>
        <w:t xml:space="preserve"> 0.141, Fig. </w:t>
      </w:r>
      <w:r w:rsidR="00B5731E">
        <w:t>4</w:t>
      </w:r>
      <w:r>
        <w:t>f), soil total nitrogen (soil</w:t>
      </w:r>
      <w:r w:rsidR="00B5731E">
        <w:t>_</w:t>
      </w:r>
      <w:r>
        <w:t xml:space="preserve">nto, </w:t>
      </w:r>
      <w:r w:rsidR="00B5731E">
        <w:t>R</w:t>
      </w:r>
      <w:r w:rsidR="00B5731E" w:rsidRPr="00B5731E">
        <w:rPr>
          <w:vertAlign w:val="superscript"/>
        </w:rPr>
        <w:t>2</w:t>
      </w:r>
      <w:r>
        <w:t xml:space="preserve">  </w:t>
      </w:r>
      <w:r w:rsidR="00B5731E">
        <w:t>=</w:t>
      </w:r>
      <w:r>
        <w:t xml:space="preserve"> 0.111, Fig. </w:t>
      </w:r>
      <w:r w:rsidR="00B5731E">
        <w:t>4</w:t>
      </w:r>
      <w:r>
        <w:t>g) and soil organic carbon (soil</w:t>
      </w:r>
      <w:r w:rsidR="00B5731E">
        <w:t>_</w:t>
      </w:r>
      <w:r>
        <w:t xml:space="preserve">soc, </w:t>
      </w:r>
      <w:r w:rsidR="00B5731E">
        <w:t>R</w:t>
      </w:r>
      <w:r w:rsidR="00B5731E" w:rsidRPr="00B5731E">
        <w:rPr>
          <w:vertAlign w:val="superscript"/>
        </w:rPr>
        <w:t>2</w:t>
      </w:r>
      <w:r>
        <w:t xml:space="preserve">  </w:t>
      </w:r>
      <w:r w:rsidR="00B5731E">
        <w:t>=</w:t>
      </w:r>
      <w:r>
        <w:t xml:space="preserve"> 0.344, Fig. </w:t>
      </w:r>
      <w:r w:rsidR="00B5731E">
        <w:t>4</w:t>
      </w:r>
      <w:r w:rsidR="009661D7">
        <w:t>h).</w:t>
      </w:r>
    </w:p>
    <w:p w14:paraId="14640369" w14:textId="31341680" w:rsidR="004425F9" w:rsidRDefault="004425F9" w:rsidP="00FF6B5C">
      <w:pPr>
        <w:spacing w:line="360" w:lineRule="auto"/>
        <w:jc w:val="both"/>
      </w:pPr>
      <w:r>
        <w:t xml:space="preserve">Environmental heterogeneity (as indicated by high flow frequency) was associated with lower functional divergence (Fig. </w:t>
      </w:r>
      <w:r w:rsidR="00B5731E">
        <w:t>4</w:t>
      </w:r>
      <w:r>
        <w:t xml:space="preserve">d,e), opposing the prediction made in hypothesis 1, while the unimodal relationship with constancy of maximum flows (Fig. </w:t>
      </w:r>
      <w:r w:rsidR="00B5731E">
        <w:t>4</w:t>
      </w:r>
      <w:r>
        <w:t xml:space="preserve">c) provided some support for hypothesis 2 (delta AICc between linear and quadratic models </w:t>
      </w:r>
      <w:r w:rsidR="00B5731E">
        <w:t>=</w:t>
      </w:r>
      <w:r>
        <w:t xml:space="preserve"> 10.08). Scant evidence to support hypothesis 3 was found: as with FRic.SES, a weak but significant relationship was present between FDis.SES and modification of flood frequency (Fig. </w:t>
      </w:r>
      <w:r w:rsidR="00B5731E">
        <w:t>4</w:t>
      </w:r>
      <w:r>
        <w:t>d).</w:t>
      </w:r>
    </w:p>
    <w:p w14:paraId="2882827E" w14:textId="77777777" w:rsidR="009661D7" w:rsidRDefault="009661D7" w:rsidP="00FF6B5C">
      <w:pPr>
        <w:spacing w:line="360" w:lineRule="auto"/>
        <w:jc w:val="both"/>
      </w:pPr>
    </w:p>
    <w:p w14:paraId="31D4EB80" w14:textId="77777777" w:rsidR="009661D7" w:rsidRDefault="009661D7" w:rsidP="00FF6B5C">
      <w:pPr>
        <w:spacing w:line="360" w:lineRule="auto"/>
        <w:jc w:val="both"/>
      </w:pPr>
    </w:p>
    <w:p w14:paraId="505B4B2A" w14:textId="77777777" w:rsidR="009661D7" w:rsidRDefault="009661D7" w:rsidP="00FF6B5C">
      <w:pPr>
        <w:spacing w:line="360" w:lineRule="auto"/>
        <w:jc w:val="both"/>
      </w:pPr>
    </w:p>
    <w:p w14:paraId="595F76E7" w14:textId="77777777" w:rsidR="009661D7" w:rsidRDefault="009661D7" w:rsidP="00FF6B5C">
      <w:pPr>
        <w:spacing w:line="360" w:lineRule="auto"/>
        <w:jc w:val="both"/>
      </w:pPr>
    </w:p>
    <w:p w14:paraId="3E61644B" w14:textId="77777777" w:rsidR="009661D7" w:rsidRDefault="009661D7" w:rsidP="00FF6B5C">
      <w:pPr>
        <w:spacing w:line="360" w:lineRule="auto"/>
        <w:jc w:val="both"/>
      </w:pPr>
    </w:p>
    <w:p w14:paraId="5E752091" w14:textId="77777777" w:rsidR="009661D7" w:rsidRDefault="009661D7" w:rsidP="00FF6B5C">
      <w:pPr>
        <w:spacing w:line="360" w:lineRule="auto"/>
        <w:jc w:val="both"/>
      </w:pPr>
    </w:p>
    <w:p w14:paraId="30529FC9" w14:textId="6CC89FE8" w:rsidR="00026237" w:rsidRDefault="00026237" w:rsidP="00FF6B5C">
      <w:pPr>
        <w:spacing w:line="360" w:lineRule="auto"/>
        <w:jc w:val="both"/>
      </w:pPr>
      <w:r>
        <w:t>DISCUSSION</w:t>
      </w:r>
    </w:p>
    <w:p w14:paraId="11F2FEF4" w14:textId="3D9586A2" w:rsidR="004425F9" w:rsidRDefault="004425F9" w:rsidP="00FF6B5C">
      <w:pPr>
        <w:spacing w:line="360" w:lineRule="auto"/>
        <w:jc w:val="both"/>
      </w:pPr>
      <w:r>
        <w:lastRenderedPageBreak/>
        <w:t xml:space="preserve">We proposed that generation of niche complexity by spatially and temporally heterogeneous environmental conditions is the dominant control on diversity in riparian plant communities. Under this framework, suppression of natural environmental heterogeneity by human modification of river flow regimes and catchment landscapes would result in lower diversity </w:t>
      </w:r>
      <w:r w:rsidR="00370EFC">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"ITEM-2",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&lt;i&gt;et al.&lt;/i&gt; 1997; Poff &amp; Zimmerman 2010)", "plainTextFormattedCitation" : "(Poff et al. 1997; Poff &amp; Zimmerman 2010)", "previouslyFormattedCitation" : "(Poff &lt;i&gt;et al.&lt;/i&gt; 1997; Poff &amp; Zimmerman 2010)" }, "properties" : { "noteIndex" : 0 }, "schema" : "https://github.com/citation-style-language/schema/raw/master/csl-citation.json" }</w:instrText>
      </w:r>
      <w:r w:rsidR="00370EFC">
        <w:fldChar w:fldCharType="separate"/>
      </w:r>
      <w:r w:rsidR="00370EFC" w:rsidRPr="00370EFC">
        <w:rPr>
          <w:noProof/>
        </w:rPr>
        <w:t xml:space="preserve">(Poff </w:t>
      </w:r>
      <w:r w:rsidR="00370EFC" w:rsidRPr="00370EFC">
        <w:rPr>
          <w:i/>
          <w:noProof/>
        </w:rPr>
        <w:t>et al.</w:t>
      </w:r>
      <w:r w:rsidR="00370EFC" w:rsidRPr="00370EFC">
        <w:rPr>
          <w:noProof/>
        </w:rPr>
        <w:t xml:space="preserve"> 1997; Poff &amp; Zimmerman 2010)</w:t>
      </w:r>
      <w:r w:rsidR="00370EFC">
        <w:fldChar w:fldCharType="end"/>
      </w:r>
      <w:r>
        <w:t xml:space="preserve">. This niche-oriented model of riparian plant diversity received mixed support in our study: by some metrics, species richness in fact decreased as hydrological conditions became more heterogeneous, and </w:t>
      </w:r>
      <w:r w:rsidR="00370EFC">
        <w:t>anthropogenic</w:t>
      </w:r>
      <w:r>
        <w:t xml:space="preserve"> flow homogenisation was associated with greater species richness. Although abundance of exotic species did increase with the proportion of surrounding land used for agricultural or silvicultural production, there was no relationship between exotic abundance and flow modification, and negative relationships were found with metrics of hydrological heterogeneity. The proportion of variation in functional diversity explained by environmental variables was comparatively lower than species richness. Functional diversity metrics showed unimodal relationships with some metrics of hydrological heterogeneity, and declined with others. Flow modification was a weak predictor of functional diversity, and </w:t>
      </w:r>
      <w:r w:rsidR="00370EFC">
        <w:t>we found no effect of land use.</w:t>
      </w:r>
    </w:p>
    <w:p w14:paraId="4B0276B5" w14:textId="4BBB3FF7" w:rsidR="004425F9" w:rsidRPr="00370EFC" w:rsidRDefault="004425F9" w:rsidP="00FF6B5C">
      <w:pPr>
        <w:spacing w:line="360" w:lineRule="auto"/>
        <w:jc w:val="both"/>
        <w:rPr>
          <w:i/>
        </w:rPr>
      </w:pPr>
      <w:r w:rsidRPr="00370EFC">
        <w:rPr>
          <w:i/>
        </w:rPr>
        <w:t>Flow heterogeneity was not an important driver of r</w:t>
      </w:r>
      <w:r w:rsidR="00370EFC" w:rsidRPr="00370EFC">
        <w:rPr>
          <w:i/>
        </w:rPr>
        <w:t>iparian vegetation composition</w:t>
      </w:r>
    </w:p>
    <w:p w14:paraId="3890E7EE" w14:textId="57D43B11" w:rsidR="004425F9" w:rsidRDefault="004425F9" w:rsidP="00FF6B5C">
      <w:pPr>
        <w:spacing w:line="360" w:lineRule="auto"/>
        <w:jc w:val="both"/>
      </w:pPr>
      <w:r>
        <w:t xml:space="preserve">Given that a large proportion of variation in diversity metrics explained by flow regime was co-explained by soil and climatic variables, is it possible to attribute flow regime as the dominant control on diversity? Taken individually, metrics of flow regime were the single best predictors of vegetation descriptors for FRic.SES (flood frequency, Fig. </w:t>
      </w:r>
      <w:r w:rsidR="00B5731E">
        <w:t>3</w:t>
      </w:r>
      <w:r>
        <w:t xml:space="preserve">d). Species richness was best predicted by precipitation in the wet season (Fig. </w:t>
      </w:r>
      <w:r w:rsidR="00370EFC">
        <w:t>2</w:t>
      </w:r>
      <w:r>
        <w:t xml:space="preserve">i), while FDis.SES was best predicted by soil organic carbon content (Fig. </w:t>
      </w:r>
      <w:r w:rsidR="00B5731E">
        <w:t>4</w:t>
      </w:r>
      <w:r>
        <w:t xml:space="preserve">h). Variance partitioning showed that optimal models derived from flow regime metrics independently explained only a small proportion of variation in FRic.SES (Fig. </w:t>
      </w:r>
      <w:r w:rsidR="00B5731E">
        <w:t>3</w:t>
      </w:r>
      <w:r>
        <w:t xml:space="preserve">a), and no independent variation in species richness (Fig. </w:t>
      </w:r>
      <w:r w:rsidR="00370EFC">
        <w:t>2</w:t>
      </w:r>
      <w:r>
        <w:t xml:space="preserve">a) or FDis.SES (Fig. </w:t>
      </w:r>
      <w:r w:rsidR="00B5731E">
        <w:t>4</w:t>
      </w:r>
      <w:r>
        <w:t xml:space="preserve">a). Extent of flow modification independently explained variation only in species richness, and changes to only a fraction hydrological metrics were important (Fig. </w:t>
      </w:r>
      <w:r w:rsidR="00370EFC">
        <w:t>2</w:t>
      </w:r>
      <w:r>
        <w:t xml:space="preserve">). </w:t>
      </w:r>
    </w:p>
    <w:p w14:paraId="69173761" w14:textId="140BC499" w:rsidR="004425F9" w:rsidRDefault="004425F9" w:rsidP="00FF6B5C">
      <w:pPr>
        <w:spacing w:line="360" w:lineRule="auto"/>
        <w:jc w:val="both"/>
      </w:pPr>
      <w:r>
        <w:t xml:space="preserve">As such it was not possible to give a conclusive affirmative response to this question; it is possible that relatively shallow extent of flow modification in the region over a relatively short timeframe </w:t>
      </w:r>
      <w:r w:rsidR="00370EFC">
        <w:t>(~</w:t>
      </w:r>
      <w:r>
        <w:t>30 years)</w:t>
      </w:r>
      <w:r w:rsidR="00370EFC">
        <w:t xml:space="preserve"> </w:t>
      </w:r>
      <w:r w:rsidR="00370EFC">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370EFC">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370EFC">
        <w:fldChar w:fldCharType="end"/>
      </w:r>
      <w:r>
        <w:t xml:space="preserve"> did not provide the contrast required to find a consistent effect. The inherent dependency between climate and hydrology mean that manipulative experiments are required to confidently determine the influence of flow regime </w:t>
      </w:r>
      <w:r w:rsidR="00370EFC">
        <w:t xml:space="preserve">on riparian plant communities. </w:t>
      </w:r>
    </w:p>
    <w:p w14:paraId="3949E03C" w14:textId="481A9C53" w:rsidR="004425F9" w:rsidRDefault="004425F9" w:rsidP="00FF6B5C">
      <w:pPr>
        <w:spacing w:line="360" w:lineRule="auto"/>
        <w:jc w:val="both"/>
      </w:pPr>
      <w:r>
        <w:t xml:space="preserve">Despite these limitations, we can make some interesting observations about the role of environmental heterogeneity as a driver of species richness in riparian plant communities. Contrary to expectation, sites with lower species richness were found where temporal patterns of minimum </w:t>
      </w:r>
      <w:r>
        <w:lastRenderedPageBreak/>
        <w:t xml:space="preserve">(Fig. </w:t>
      </w:r>
      <w:r w:rsidR="00B5731E">
        <w:t>3</w:t>
      </w:r>
      <w:r>
        <w:t xml:space="preserve">d) and maximum flows (Fig. </w:t>
      </w:r>
      <w:r w:rsidR="00B5731E">
        <w:t>3</w:t>
      </w:r>
      <w:r>
        <w:t xml:space="preserve">e) were less consistent between years, where interannual variability in baseflow was higher (Fig. </w:t>
      </w:r>
      <w:r w:rsidR="00B5731E">
        <w:t>3</w:t>
      </w:r>
      <w:r>
        <w:t xml:space="preserve">h), and also where temperature seasonality was greater (Fig. </w:t>
      </w:r>
      <w:r w:rsidR="00B5731E">
        <w:t>3</w:t>
      </w:r>
      <w:r>
        <w:t xml:space="preserve">k). A global meta-analysis of the ecology of tropical riverscapes showed that consistent, seasonal flow regimes support communities with higher net primary productivity and higher species richness in bird and fish assemblages than rivers with arrhythmic flow regimes </w:t>
      </w:r>
      <w:r w:rsidR="00370EFC">
        <w:fldChar w:fldCharType="begin" w:fldLock="1"/>
      </w:r>
      <w:r w:rsidR="00370EFC">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370EFC">
        <w:fldChar w:fldCharType="separate"/>
      </w:r>
      <w:r w:rsidR="00370EFC" w:rsidRPr="00370EFC">
        <w:rPr>
          <w:noProof/>
        </w:rPr>
        <w:t xml:space="preserve">(Jardine </w:t>
      </w:r>
      <w:r w:rsidR="00370EFC" w:rsidRPr="00370EFC">
        <w:rPr>
          <w:i/>
          <w:noProof/>
        </w:rPr>
        <w:t>et al.</w:t>
      </w:r>
      <w:r w:rsidR="00370EFC" w:rsidRPr="00370EFC">
        <w:rPr>
          <w:noProof/>
        </w:rPr>
        <w:t xml:space="preserve"> 2015)</w:t>
      </w:r>
      <w:r w:rsidR="00370EFC">
        <w:fldChar w:fldCharType="end"/>
      </w:r>
      <w:r>
        <w:t>. Lundholm found in a meta-analysis of studies describing relationships between species richness, spatial environmental heterogeneity and energy availability, that energy availability was a better predictor of species richness than environmental heterogeneity</w:t>
      </w:r>
      <w:r w:rsidR="00370EFC">
        <w:t xml:space="preserve"> </w:t>
      </w:r>
      <w:r w:rsidR="00370EFC">
        <w:fldChar w:fldCharType="begin" w:fldLock="1"/>
      </w:r>
      <w:r w:rsidR="00370EFC">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00370EFC">
        <w:fldChar w:fldCharType="separate"/>
      </w:r>
      <w:r w:rsidR="00370EFC" w:rsidRPr="00370EFC">
        <w:rPr>
          <w:noProof/>
        </w:rPr>
        <w:t>(Lundholm 2009)</w:t>
      </w:r>
      <w:r w:rsidR="00370EFC">
        <w:fldChar w:fldCharType="end"/>
      </w:r>
      <w:r>
        <w:t>. Temporal consistency in patterns of resource and energy availability may compete with environmental heterogeneity as a control on riparian p</w:t>
      </w:r>
      <w:r w:rsidR="00370EFC">
        <w:t xml:space="preserve">lant diversity in this system. </w:t>
      </w:r>
    </w:p>
    <w:p w14:paraId="52C737C3" w14:textId="4B69F996" w:rsidR="004425F9" w:rsidRDefault="004425F9" w:rsidP="00FF6B5C">
      <w:pPr>
        <w:spacing w:line="360" w:lineRule="auto"/>
        <w:jc w:val="both"/>
      </w:pPr>
      <w:r>
        <w:t>Further insight into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FRic.SES is not weighted by species abundance and describes only the range of trait values present. FDis.SES, a pure measure of functional divergence</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provides information about the abundance distribution of trait values across this range: functional divergence is maximised when highly abundant species are distant from the community centre of gravity in traitspace </w:t>
      </w:r>
      <w:r w:rsidR="00370EFC">
        <w:fldChar w:fldCharType="begin" w:fldLock="1"/>
      </w:r>
      <w:r w:rsidR="00370EFC">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00370EFC">
        <w:fldChar w:fldCharType="separate"/>
      </w:r>
      <w:r w:rsidR="00370EFC" w:rsidRPr="00370EFC">
        <w:rPr>
          <w:noProof/>
        </w:rPr>
        <w:t xml:space="preserve">(Mouchet </w:t>
      </w:r>
      <w:r w:rsidR="00370EFC" w:rsidRPr="00370EFC">
        <w:rPr>
          <w:i/>
          <w:noProof/>
        </w:rPr>
        <w:t>et al.</w:t>
      </w:r>
      <w:r w:rsidR="00370EFC" w:rsidRPr="00370EFC">
        <w:rPr>
          <w:noProof/>
        </w:rPr>
        <w:t xml:space="preserve"> 2010)</w:t>
      </w:r>
      <w:r w:rsidR="00370EFC">
        <w:fldChar w:fldCharType="end"/>
      </w:r>
      <w:r>
        <w:t xml:space="preserve">. 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environmental heterogeneity increases </w:t>
      </w:r>
      <w:r w:rsidR="00370EFC">
        <w:fldChar w:fldCharType="begin" w:fldLock="1"/>
      </w:r>
      <w:r w:rsidR="00370EFC">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"previouslyFormattedCitation" : "(Laanisto &lt;i&gt;et al.&lt;/i&gt; 2013)" }, "properties" : { "noteIndex" : 0 }, "schema" : "https://github.com/citation-style-language/schema/raw/master/csl-citation.json" }</w:instrText>
      </w:r>
      <w:r w:rsidR="00370EFC">
        <w:fldChar w:fldCharType="separate"/>
      </w:r>
      <w:r w:rsidR="00370EFC" w:rsidRPr="00370EFC">
        <w:rPr>
          <w:noProof/>
        </w:rPr>
        <w:t xml:space="preserve">(Laanisto </w:t>
      </w:r>
      <w:r w:rsidR="00370EFC" w:rsidRPr="00370EFC">
        <w:rPr>
          <w:i/>
          <w:noProof/>
        </w:rPr>
        <w:t>et al.</w:t>
      </w:r>
      <w:r w:rsidR="00370EFC" w:rsidRPr="00370EFC">
        <w:rPr>
          <w:noProof/>
        </w:rPr>
        <w:t xml:space="preserve"> 2013)</w:t>
      </w:r>
      <w:r w:rsidR="00370EFC">
        <w:fldChar w:fldCharType="end"/>
      </w:r>
      <w:r w:rsidR="00FF6B5C">
        <w:t>.</w:t>
      </w:r>
    </w:p>
    <w:p w14:paraId="51FE4AF2" w14:textId="642EEA55" w:rsidR="004425F9" w:rsidRDefault="004425F9" w:rsidP="00FF6B5C">
      <w:pPr>
        <w:spacing w:line="360" w:lineRule="auto"/>
        <w:jc w:val="both"/>
      </w:pPr>
      <w:r>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w:t>
      </w:r>
      <w:r w:rsidR="00B5731E">
        <w:t>_</w:t>
      </w:r>
      <w:r>
        <w:t>MaxM). Strongly negative values for several communities at the lower bound of C</w:t>
      </w:r>
      <w:r w:rsidR="00B5731E">
        <w:t>_</w:t>
      </w:r>
      <w:r>
        <w:t>MaxM indicates functional underdispersion (i.e. environmental filtering)</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although the full range of variation in FDis.SES was present at low C</w:t>
      </w:r>
      <w:r w:rsidR="00B5731E">
        <w:t>_</w:t>
      </w:r>
      <w:r>
        <w:t>MaxM</w:t>
      </w:r>
      <w:r w:rsidR="00370EFC">
        <w:t xml:space="preserve"> </w:t>
      </w:r>
      <w:r>
        <w:t>. Variation in FDis.SES constricts as constancy increases, however, so with the exception of communities at this lower bound, communities along rivers with similar C</w:t>
      </w:r>
      <w:r w:rsidR="00B5731E">
        <w:t>_</w:t>
      </w:r>
      <w:r>
        <w:t>MaxM tend to have similar species abundance distributions in traitspace. Interestingly, temporal variability in minimum flows (C</w:t>
      </w:r>
      <w:r w:rsidR="00B5731E">
        <w:t>_</w:t>
      </w:r>
      <w:r>
        <w:t>MinM, M</w:t>
      </w:r>
      <w:r w:rsidR="00B5731E">
        <w:t>_</w:t>
      </w:r>
      <w:r>
        <w:t>MinM) predicted species richness but temporal variability in maximum flows (C</w:t>
      </w:r>
      <w:r w:rsidR="00B5731E">
        <w:t>_</w:t>
      </w:r>
      <w:r>
        <w:t>MaxM) predicted functional divergence. Compared with species richness, both FRic.SES and FDis.SES showed opposite relationships with climate and soil variables (clim</w:t>
      </w:r>
      <w:r w:rsidR="00B5731E">
        <w:t>_</w:t>
      </w:r>
      <w:r>
        <w:t>pwet, clim</w:t>
      </w:r>
      <w:r w:rsidR="00B5731E">
        <w:t>_</w:t>
      </w:r>
      <w:r>
        <w:t>tsea and soil</w:t>
      </w:r>
      <w:r w:rsidR="00B5731E">
        <w:t>_</w:t>
      </w:r>
      <w:r>
        <w:t xml:space="preserve">soc, among others), </w:t>
      </w:r>
      <w:r>
        <w:lastRenderedPageBreak/>
        <w:t xml:space="preserve">indicating that trait range is not reduced in concert with species richness. The traits which do remain are clustered towards the edges of the range, producing hollowed-out </w:t>
      </w:r>
      <w:r w:rsidR="00370EFC">
        <w:t xml:space="preserve">community trait distributions. </w:t>
      </w:r>
    </w:p>
    <w:p w14:paraId="18AACB86" w14:textId="71D81E9A" w:rsidR="004425F9" w:rsidRPr="00370EFC" w:rsidRDefault="004425F9" w:rsidP="00FF6B5C">
      <w:pPr>
        <w:spacing w:line="360" w:lineRule="auto"/>
        <w:jc w:val="both"/>
        <w:rPr>
          <w:i/>
        </w:rPr>
      </w:pPr>
      <w:r w:rsidRPr="00370EFC">
        <w:rPr>
          <w:i/>
        </w:rPr>
        <w:t>Environmental models explain a limited proportion of vari</w:t>
      </w:r>
      <w:r w:rsidR="00370EFC" w:rsidRPr="00370EFC">
        <w:rPr>
          <w:i/>
        </w:rPr>
        <w:t>ation in vegetation composition</w:t>
      </w:r>
    </w:p>
    <w:p w14:paraId="3E17018A" w14:textId="255A3136" w:rsidR="004425F9" w:rsidRDefault="004425F9" w:rsidP="00FF6B5C">
      <w:pPr>
        <w:spacing w:line="360" w:lineRule="auto"/>
        <w:jc w:val="both"/>
      </w:pPr>
      <w:r>
        <w:t>Environmental conditions may also have interactive effects on riparian plant diversity. We originally intended to model a set of competing hypotheses about the effects of interactions between environmental conditions on diversity,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w:t>
      </w:r>
      <w:r w:rsidR="00370EFC">
        <w:t>onmental controls on diversity.</w:t>
      </w:r>
    </w:p>
    <w:p w14:paraId="7567CD81" w14:textId="39AE27B3" w:rsidR="007A6DD7" w:rsidRDefault="004425F9" w:rsidP="00FF6B5C">
      <w:pPr>
        <w:spacing w:line="360" w:lineRule="auto"/>
        <w:jc w:val="both"/>
      </w:pPr>
      <w:r>
        <w:t xml:space="preserve">Environmental models in this study accounted for only part of the total variation in functional diversity (40.5 </w:t>
      </w:r>
      <w:r w:rsidR="00370EFC">
        <w:t>%</w:t>
      </w:r>
      <w:r>
        <w:t xml:space="preserve"> for FRic.SES and 48.3 </w:t>
      </w:r>
      <w:r w:rsidR="00370EFC">
        <w:t>%</w:t>
      </w:r>
      <w:r>
        <w:t xml:space="preserve"> for FDis.SES). In a previous study of relatively unmodified riparian plant communities in south-eastern Australia, 80 </w:t>
      </w:r>
      <w:r w:rsidR="00370EFC">
        <w:t>%</w:t>
      </w:r>
      <w:r>
        <w:t xml:space="preserve"> of variation in functional dispersion was explained by a combination of variability in flood frequency, variability in flood magnitu</w:t>
      </w:r>
      <w:r w:rsidR="00370EFC">
        <w:t xml:space="preserve">de, and mean daily summer flow </w:t>
      </w:r>
      <w:r w:rsidR="00370EFC">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370EFC">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370EFC">
        <w:fldChar w:fldCharType="end"/>
      </w:r>
      <w:r w:rsidR="00370EFC">
        <w:t>.</w:t>
      </w:r>
      <w:r>
        <w:t xml:space="preserve"> A fraction of this variation was independently explained by climate, and none was independently explained by soil variables. In contrast, much of the variance in functional diversity metrics in the current study was jointly explained by hydrological, climate and soil models. The weak link observed between functional diversity and flow modification (Fig. </w:t>
      </w:r>
      <w:r w:rsidR="00B5731E">
        <w:t>3</w:t>
      </w:r>
      <w:r>
        <w:t xml:space="preserve">e, Fig. </w:t>
      </w:r>
      <w:r w:rsidR="00B5731E">
        <w:t>4</w:t>
      </w:r>
      <w:r>
        <w:t xml:space="preserve">e) suggests that local land management practices and land use histories, which could not be accounted for in this study, may have had a strong influence on diversity </w:t>
      </w:r>
      <w:r w:rsidR="00370EFC">
        <w:fldChar w:fldCharType="begin" w:fldLock="1"/>
      </w:r>
      <w:r w:rsidR="00370EFC">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00370EFC">
        <w:fldChar w:fldCharType="separate"/>
      </w:r>
      <w:r w:rsidR="00370EFC" w:rsidRPr="00370EFC">
        <w:rPr>
          <w:noProof/>
        </w:rPr>
        <w:t xml:space="preserve">(Foster </w:t>
      </w:r>
      <w:r w:rsidR="00370EFC" w:rsidRPr="00370EFC">
        <w:rPr>
          <w:i/>
          <w:noProof/>
        </w:rPr>
        <w:t>et al.</w:t>
      </w:r>
      <w:r w:rsidR="00370EFC" w:rsidRPr="00370EFC">
        <w:rPr>
          <w:noProof/>
        </w:rPr>
        <w:t xml:space="preserve"> 2003)</w:t>
      </w:r>
      <w:r w:rsidR="00370EFC">
        <w:fldChar w:fldCharType="end"/>
      </w:r>
      <w:r>
        <w:t>. Additionally, our environmental gradient analyses are based on a niche optimisation paradigm of community assembly, and do not account for neutral processes or biotic interactions</w:t>
      </w:r>
      <w:r w:rsidR="00370EFC">
        <w:t xml:space="preserve"> </w:t>
      </w:r>
      <w:r w:rsidR="00370EFC">
        <w:fldChar w:fldCharType="begin" w:fldLock="1"/>
      </w:r>
      <w:r w:rsidR="00370EFC">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00370EFC">
        <w:fldChar w:fldCharType="separate"/>
      </w:r>
      <w:r w:rsidR="00370EFC" w:rsidRPr="00370EFC">
        <w:rPr>
          <w:noProof/>
        </w:rPr>
        <w:t xml:space="preserve">(Kraft </w:t>
      </w:r>
      <w:r w:rsidR="00370EFC" w:rsidRPr="00370EFC">
        <w:rPr>
          <w:i/>
          <w:noProof/>
        </w:rPr>
        <w:t>et al.</w:t>
      </w:r>
      <w:r w:rsidR="00370EFC" w:rsidRPr="00370EFC">
        <w:rPr>
          <w:noProof/>
        </w:rPr>
        <w:t xml:space="preserve"> 2015)</w:t>
      </w:r>
      <w:r w:rsidR="00370EFC">
        <w:fldChar w:fldCharType="end"/>
      </w:r>
      <w:r>
        <w:t xml:space="preserve">. Competitive interactions may play a more important role in assembly of diverse subtropical plant communities than in more austere environments dominated by abiotic forces </w:t>
      </w:r>
      <w:r w:rsidR="00370EFC">
        <w:fldChar w:fldCharType="begin" w:fldLock="1"/>
      </w:r>
      <w:r w:rsidR="00370EFC">
        <w:instrText>ADDIN CSL_CITATION { "citationItems" : [ { "id" : "ITEM-1", "itemData" : { "author" : [ { "dropping-particle" : "", "family" : "Callaway", "given" : "Ragan M", "non-dropping-particle" : "", "parse-names" : false, "suffix" : "" } ], "container-title" : "The Botanical Review", "id" : "ITEM-1", "issue" : "4", "issued" : { "date-parts" : [ [ "1995" ] ] }, "page" : "306-349", "publisher" : "Springer", "title" : "Positive interactions among plants", "type" : "article-journal", "volume" : "61" }, "uris" : [ "http://www.mendeley.com/documents/?uuid=2402279b-af03-44d0-bf68-de79f2746082" ] } ], "mendeley" : { "formattedCitation" : "(Callaway 1995)", "plainTextFormattedCitation" : "(Callaway 1995)", "previouslyFormattedCitation" : "(Callaway 1995)" }, "properties" : { "noteIndex" : 0 }, "schema" : "https://github.com/citation-style-language/schema/raw/master/csl-citation.json" }</w:instrText>
      </w:r>
      <w:r w:rsidR="00370EFC">
        <w:fldChar w:fldCharType="separate"/>
      </w:r>
      <w:r w:rsidR="00370EFC" w:rsidRPr="00370EFC">
        <w:rPr>
          <w:noProof/>
        </w:rPr>
        <w:t>(Callaway 1995)</w:t>
      </w:r>
      <w:r w:rsidR="00370EFC">
        <w:fldChar w:fldCharType="end"/>
      </w:r>
      <w:r>
        <w:t xml:space="preserve">. Indeed, as is characteristic of subtropical forests, many of the species identified in this study were not obligate riparian species </w:t>
      </w:r>
      <w:r w:rsidRPr="007C2557">
        <w:t>(James et al., in review)</w:t>
      </w:r>
      <w:r>
        <w:t xml:space="preserve"> and could not necessarily be expected to display traits associated with adaptatio</w:t>
      </w:r>
      <w:r w:rsidR="00370EFC">
        <w:t>n to the riparian environment</w:t>
      </w:r>
      <w:r w:rsidR="007A6DD7">
        <w:t>.</w:t>
      </w:r>
    </w:p>
    <w:p w14:paraId="0D39F6E7" w14:textId="60043E59" w:rsidR="004425F9" w:rsidRPr="00370EFC" w:rsidRDefault="004425F9" w:rsidP="00FF6B5C">
      <w:pPr>
        <w:spacing w:line="360" w:lineRule="auto"/>
        <w:jc w:val="both"/>
        <w:rPr>
          <w:i/>
        </w:rPr>
      </w:pPr>
      <w:r w:rsidRPr="00370EFC">
        <w:rPr>
          <w:i/>
        </w:rPr>
        <w:t>Implications for management of riparian communities in</w:t>
      </w:r>
      <w:r w:rsidR="00370EFC" w:rsidRPr="00370EFC">
        <w:rPr>
          <w:i/>
        </w:rPr>
        <w:t xml:space="preserve"> modified </w:t>
      </w:r>
      <w:r w:rsidR="007F3B75">
        <w:rPr>
          <w:i/>
        </w:rPr>
        <w:t xml:space="preserve">catchments of </w:t>
      </w:r>
      <w:r w:rsidR="00370EFC" w:rsidRPr="00370EFC">
        <w:rPr>
          <w:i/>
        </w:rPr>
        <w:t>south-east Queensland</w:t>
      </w:r>
    </w:p>
    <w:p w14:paraId="37C32F41" w14:textId="70D4FE91" w:rsidR="004425F9" w:rsidRDefault="004425F9" w:rsidP="00FF6B5C">
      <w:pPr>
        <w:spacing w:line="360" w:lineRule="auto"/>
        <w:jc w:val="both"/>
      </w:pPr>
      <w:r>
        <w:t xml:space="preserve">Despite previous findings that ecosystem multifunctionality scales linearly with functional divergence </w:t>
      </w:r>
      <w:r w:rsidR="00370EFC">
        <w:fldChar w:fldCharType="begin" w:fldLock="1"/>
      </w:r>
      <w:r w:rsidR="00370EFC">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00370EFC">
        <w:fldChar w:fldCharType="separate"/>
      </w:r>
      <w:r w:rsidR="00370EFC" w:rsidRPr="00370EFC">
        <w:rPr>
          <w:noProof/>
        </w:rPr>
        <w:t xml:space="preserve">(Mouillot </w:t>
      </w:r>
      <w:r w:rsidR="00370EFC" w:rsidRPr="00370EFC">
        <w:rPr>
          <w:i/>
          <w:noProof/>
        </w:rPr>
        <w:t>et al.</w:t>
      </w:r>
      <w:r w:rsidR="00370EFC" w:rsidRPr="00370EFC">
        <w:rPr>
          <w:noProof/>
        </w:rPr>
        <w:t xml:space="preserve"> 2011)</w:t>
      </w:r>
      <w:r w:rsidR="00370EFC">
        <w:fldChar w:fldCharType="end"/>
      </w:r>
      <w:r w:rsidR="00370EFC">
        <w:t>,</w:t>
      </w:r>
      <w:r>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00370EFC">
        <w:lastRenderedPageBreak/>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370EFC">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370EFC">
        <w:fldChar w:fldCharType="end"/>
      </w:r>
      <w:r>
        <w:t xml:space="preserve">. Riparian plant communities supported by rivers with highly variable flow regimes may therefore be inherently sensitive to environmental change and exotic invasion. </w:t>
      </w:r>
    </w:p>
    <w:p w14:paraId="0232D21B" w14:textId="51B6A908" w:rsidR="00DF2848" w:rsidRDefault="004425F9" w:rsidP="00FF6B5C">
      <w:pPr>
        <w:spacing w:line="360" w:lineRule="auto"/>
        <w:jc w:val="both"/>
      </w:pPr>
      <w:r>
        <w:t>Our findings also suggest that greater runoff variability predicted to characterise future climates in south-east Queensland</w:t>
      </w:r>
      <w:r w:rsidR="00370EFC">
        <w:t xml:space="preserve"> </w:t>
      </w:r>
      <w:r w:rsidR="00370EFC">
        <w:fldChar w:fldCharType="begin" w:fldLock="1"/>
      </w:r>
      <w:r w:rsidR="00055BBC">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370EFC">
        <w:fldChar w:fldCharType="separate"/>
      </w:r>
      <w:r w:rsidR="00370EFC" w:rsidRPr="00370EFC">
        <w:rPr>
          <w:noProof/>
        </w:rPr>
        <w:t xml:space="preserve">(Hennessy </w:t>
      </w:r>
      <w:r w:rsidR="00370EFC" w:rsidRPr="00370EFC">
        <w:rPr>
          <w:i/>
          <w:noProof/>
        </w:rPr>
        <w:t>et al.</w:t>
      </w:r>
      <w:r w:rsidR="00370EFC" w:rsidRPr="00370EFC">
        <w:rPr>
          <w:noProof/>
        </w:rPr>
        <w:t xml:space="preserve"> 2008)</w:t>
      </w:r>
      <w:r w:rsidR="00370EFC">
        <w:fldChar w:fldCharType="end"/>
      </w:r>
      <w:r>
        <w:t xml:space="preserve"> could have deleterious consequences for riparian plant communities. Less defined patterns of seasonality and greater variability in monthly flow patterns between years may shift assemblages towards species more tolerant of environmental variability and promote exotic invasion. Environmental flows designed to alter interannual variability in flow seasonality have the potential to significantly influence species richness in riparian communities, although their potential effects on functional diversity remain unclear. </w:t>
      </w:r>
      <w:r w:rsidR="006C54DB">
        <w:t>At the regional scale, e</w:t>
      </w:r>
      <w:r w:rsidR="002D0F5F">
        <w:t xml:space="preserve">nvironmental flows could be expected to have some effect at drier sites where the riparian </w:t>
      </w:r>
      <w:r w:rsidR="006C54DB">
        <w:t>communities</w:t>
      </w:r>
      <w:r w:rsidR="002D0F5F">
        <w:t xml:space="preserve"> </w:t>
      </w:r>
      <w:r w:rsidR="006C54DB">
        <w:t>are dominated by rheophytic species</w:t>
      </w:r>
      <w:r w:rsidR="002D0F5F">
        <w:t xml:space="preserve"> </w:t>
      </w:r>
      <w:r w:rsidR="006C54DB">
        <w:t>that</w:t>
      </w:r>
      <w:r w:rsidR="002D0F5F">
        <w:t xml:space="preserve"> are influenced by flow, </w:t>
      </w:r>
      <w:r w:rsidR="006C54DB">
        <w:t xml:space="preserve">but </w:t>
      </w:r>
      <w:r w:rsidR="002D0F5F">
        <w:t xml:space="preserve">may not be useful at wetter sites where the vegetation </w:t>
      </w:r>
      <w:r w:rsidR="006C54DB">
        <w:t>is dominated by</w:t>
      </w:r>
      <w:r w:rsidR="002D0F5F">
        <w:t xml:space="preserve"> rainforest </w:t>
      </w:r>
      <w:r w:rsidR="006C54DB">
        <w:t>species</w:t>
      </w:r>
      <w:r w:rsidR="002D0F5F">
        <w:t xml:space="preserve"> influenced strongly by climatic factors</w:t>
      </w:r>
      <w:r w:rsidR="006C54DB">
        <w:t xml:space="preserve">. </w:t>
      </w:r>
      <w:r w:rsidR="006C54DB">
        <w:t xml:space="preserve">While evidence for strong links between flow conditions and </w:t>
      </w:r>
      <w:r w:rsidR="006C54DB">
        <w:t>functional diversity of riparian plant communities</w:t>
      </w:r>
      <w:r w:rsidR="006C54DB">
        <w:t xml:space="preserve"> has been found in natural catchments of south-eastern Australia </w:t>
      </w:r>
      <w:r w:rsidR="006C54DB">
        <w:fldChar w:fldCharType="begin" w:fldLock="1"/>
      </w:r>
      <w:r w:rsidR="006C54DB">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6C54DB">
        <w:fldChar w:fldCharType="separate"/>
      </w:r>
      <w:r w:rsidR="006C54DB" w:rsidRPr="00055BBC">
        <w:rPr>
          <w:noProof/>
        </w:rPr>
        <w:t xml:space="preserve">(Lawson </w:t>
      </w:r>
      <w:r w:rsidR="006C54DB" w:rsidRPr="00055BBC">
        <w:rPr>
          <w:i/>
          <w:noProof/>
        </w:rPr>
        <w:t>et al.</w:t>
      </w:r>
      <w:r w:rsidR="006C54DB" w:rsidRPr="00055BBC">
        <w:rPr>
          <w:noProof/>
        </w:rPr>
        <w:t xml:space="preserve"> 2015)</w:t>
      </w:r>
      <w:r w:rsidR="006C54DB">
        <w:fldChar w:fldCharType="end"/>
      </w:r>
      <w:r w:rsidR="006C54DB">
        <w:t xml:space="preserve">, local land use histories are </w:t>
      </w:r>
      <w:r w:rsidR="003E570B">
        <w:t xml:space="preserve">also </w:t>
      </w:r>
      <w:r w:rsidR="006C54DB">
        <w:t>likely to confound the influence of environmental flows on functional diversity in modified landscapes.</w:t>
      </w:r>
    </w:p>
    <w:p w14:paraId="2FC19038" w14:textId="201B2284" w:rsidR="004425F9" w:rsidRDefault="007A6DD7" w:rsidP="00FF6B5C">
      <w:pPr>
        <w:spacing w:line="360" w:lineRule="auto"/>
        <w:jc w:val="both"/>
      </w:pPr>
      <w:r>
        <w:t>CONCLUSION</w:t>
      </w:r>
    </w:p>
    <w:p w14:paraId="6AB78761" w14:textId="677F8320" w:rsidR="004425F9" w:rsidRDefault="004425F9" w:rsidP="00FF6B5C">
      <w:pPr>
        <w:spacing w:line="360" w:lineRule="auto"/>
        <w:jc w:val="both"/>
      </w:pPr>
      <w:r>
        <w:t xml:space="preserve">This study was motivated by a desire to provide corroboration to previous work showing strong associations between flow heterogeneity and riparian plant functional diversity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t xml:space="preserve">, and to extend these findings into more modified landscapes. The current study demonstrates that flow regime may not necessarily be the dominant force shaping riparian plant assemblages in modified landscapes of subtropical south-east Queensland, and provides little evidence that environmental heterogeneity </w:t>
      </w:r>
      <w:r w:rsidR="00055BBC" w:rsidRPr="00055BBC">
        <w:rPr>
          <w:i/>
        </w:rPr>
        <w:t>per se</w:t>
      </w:r>
      <w:r>
        <w:t xml:space="preserve"> is an important control on species richness or functional diversity. Rather, generation and maintenance of diversity by rhythmic influx of energy and resources may be key</w:t>
      </w:r>
      <w:r w:rsidR="00055BBC">
        <w:t xml:space="preserve"> </w:t>
      </w:r>
      <w:r w:rsidR="00055BBC">
        <w:fldChar w:fldCharType="begin" w:fldLock="1"/>
      </w:r>
      <w:r w:rsidR="006D3747">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"id" : "ITEM-2",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"ITEM-2",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Jardine &lt;i&gt;et al.&lt;/i&gt; 2015)", "plainTextFormattedCitation" : "(Lundholm 2009; Jardine et al. 2015)", "previouslyFormattedCitation" : "(Lundholm 2009; Jardine &lt;i&gt;et al.&lt;/i&gt; 2015)" }, "properties" : { "noteIndex" : 0 }, "schema" : "https://github.com/citation-style-language/schema/raw/master/csl-citation.json" }</w:instrText>
      </w:r>
      <w:r w:rsidR="00055BBC">
        <w:fldChar w:fldCharType="separate"/>
      </w:r>
      <w:r w:rsidR="00055BBC" w:rsidRPr="00055BBC">
        <w:rPr>
          <w:noProof/>
        </w:rPr>
        <w:t xml:space="preserve">(Lundholm 2009; Jardine </w:t>
      </w:r>
      <w:r w:rsidR="00055BBC" w:rsidRPr="00055BBC">
        <w:rPr>
          <w:i/>
          <w:noProof/>
        </w:rPr>
        <w:t>et al.</w:t>
      </w:r>
      <w:r w:rsidR="00055BBC" w:rsidRPr="00055BBC">
        <w:rPr>
          <w:noProof/>
        </w:rPr>
        <w:t xml:space="preserve"> 2015)</w:t>
      </w:r>
      <w:r w:rsidR="00055BBC">
        <w:fldChar w:fldCharType="end"/>
      </w:r>
      <w:r>
        <w:t xml:space="preserve">. The two processes are likely active together, but it remains unclear how or why one process might become dominant over the other in a given system. Species richness was associated with the extent of modification of several flow metrics, although not linearly. The absence of strong linkages between the extent </w:t>
      </w:r>
      <w:r w:rsidR="007F3B75">
        <w:t xml:space="preserve">of </w:t>
      </w:r>
      <w:r>
        <w:t xml:space="preserve">flow modification and metrics of functional diversity suggests that use of environmental flows may not be </w:t>
      </w:r>
      <w:r w:rsidR="003E570B">
        <w:t xml:space="preserve">broadly </w:t>
      </w:r>
      <w:r>
        <w:t>effective as a tool for riparian rehabilitation in modified subtropical landscapes su</w:t>
      </w:r>
      <w:r w:rsidR="00055BBC">
        <w:t>ch as south-eastern Queensland.</w:t>
      </w:r>
    </w:p>
    <w:p w14:paraId="0A8C37FF" w14:textId="2A0CD764" w:rsidR="004425F9" w:rsidRDefault="00055BBC" w:rsidP="00FF6B5C">
      <w:pPr>
        <w:spacing w:line="360" w:lineRule="auto"/>
        <w:jc w:val="both"/>
      </w:pPr>
      <w:r>
        <w:t>ACKNOWLEDGEMENTS</w:t>
      </w:r>
    </w:p>
    <w:p w14:paraId="404CE4E3" w14:textId="4ED918F8" w:rsidR="004425F9" w:rsidRDefault="004425F9" w:rsidP="00FF6B5C">
      <w:pPr>
        <w:spacing w:line="360" w:lineRule="auto"/>
        <w:jc w:val="both"/>
      </w:pPr>
      <w:r>
        <w:lastRenderedPageBreak/>
        <w:t>The original study upon which the present analysis is based was funded by the National Water Commission (NWC) under the Raising National Water Standards (RNWS) programme, hosted and managed by the International Water Centre (IWC) and Griffith University, Brisbane. We particularly thank Anna Barnes and Stephen Mackay for all their efforts in the field, and to Angela Arthington who, as the leader of the NWC project, was instrumental in getting the field survey section of this project off the ground and completed</w:t>
      </w:r>
      <w:r w:rsidR="009B6688">
        <w:t>, and provided useful comments on the manuscript</w:t>
      </w:r>
      <w:r>
        <w:t xml:space="preserve">. This research </w:t>
      </w:r>
      <w:r w:rsidR="001057C7">
        <w:t xml:space="preserve">paper </w:t>
      </w:r>
      <w:r>
        <w:t>was supported by Macquarie University and an Australian Postgraduate Award scholarship to James Lawson. Thanks to Stuart Allen for his help in sourcing climate and soil data.</w:t>
      </w:r>
    </w:p>
    <w:p w14:paraId="49AFF0DE" w14:textId="3886E094" w:rsidR="00055BBC" w:rsidRDefault="00055BBC" w:rsidP="00FF6B5C">
      <w:pPr>
        <w:spacing w:line="360" w:lineRule="auto"/>
        <w:jc w:val="both"/>
      </w:pPr>
      <w:r>
        <w:t>AUTHORS’ CONTRIBUTIONS</w:t>
      </w:r>
    </w:p>
    <w:p w14:paraId="43514C31" w14:textId="7DB850CF" w:rsidR="004425F9" w:rsidRDefault="004425F9" w:rsidP="00FF6B5C">
      <w:pPr>
        <w:spacing w:line="360" w:lineRule="auto"/>
        <w:jc w:val="both"/>
      </w:pPr>
      <w:r>
        <w:t>Cassandra James designed and carried out the field component of the original study. Rachael Gallagher provided the majority of the trait data and contributed to the study design and analysis. Kirstie Fryirs and Michelle Leishman advised on the study design and analysis. James Lawson initiated and led the current project, curated the trait dataset, performed the analysis and wrote the manuscript. All authors contributed comments on the manuscript.</w:t>
      </w:r>
    </w:p>
    <w:p w14:paraId="015ABC4A" w14:textId="77777777" w:rsidR="00370EFC" w:rsidRDefault="00370EFC" w:rsidP="00FF6B5C">
      <w:pPr>
        <w:spacing w:line="360" w:lineRule="auto"/>
        <w:jc w:val="both"/>
      </w:pPr>
    </w:p>
    <w:p w14:paraId="2F1164E9" w14:textId="77777777" w:rsidR="00055BBC" w:rsidRDefault="00055BBC" w:rsidP="00FF6B5C">
      <w:pPr>
        <w:spacing w:line="360" w:lineRule="auto"/>
        <w:jc w:val="both"/>
      </w:pPr>
    </w:p>
    <w:p w14:paraId="495913EA" w14:textId="77777777" w:rsidR="00055BBC" w:rsidRDefault="00055BBC" w:rsidP="00FF6B5C">
      <w:pPr>
        <w:spacing w:line="360" w:lineRule="auto"/>
        <w:jc w:val="both"/>
      </w:pPr>
    </w:p>
    <w:p w14:paraId="795DC69B" w14:textId="77777777" w:rsidR="00055BBC" w:rsidRDefault="00055BBC" w:rsidP="00FF6B5C">
      <w:pPr>
        <w:spacing w:line="360" w:lineRule="auto"/>
        <w:jc w:val="both"/>
      </w:pPr>
    </w:p>
    <w:p w14:paraId="1D9916E8" w14:textId="77777777" w:rsidR="00055BBC" w:rsidRDefault="00055BBC" w:rsidP="00FF6B5C">
      <w:pPr>
        <w:spacing w:line="360" w:lineRule="auto"/>
        <w:jc w:val="both"/>
      </w:pPr>
    </w:p>
    <w:p w14:paraId="385D02DE" w14:textId="77777777" w:rsidR="00FF6B5C" w:rsidRDefault="00FF6B5C" w:rsidP="00FF6B5C">
      <w:pPr>
        <w:spacing w:line="360" w:lineRule="auto"/>
        <w:jc w:val="both"/>
      </w:pPr>
    </w:p>
    <w:p w14:paraId="6343DD35" w14:textId="77777777" w:rsidR="00FF6B5C" w:rsidRDefault="00FF6B5C" w:rsidP="00FF6B5C">
      <w:pPr>
        <w:spacing w:line="360" w:lineRule="auto"/>
        <w:jc w:val="both"/>
      </w:pPr>
    </w:p>
    <w:p w14:paraId="3D8A1CEF" w14:textId="77777777" w:rsidR="00FF6B5C" w:rsidRDefault="00FF6B5C" w:rsidP="00FF6B5C">
      <w:pPr>
        <w:spacing w:line="360" w:lineRule="auto"/>
        <w:jc w:val="both"/>
      </w:pPr>
    </w:p>
    <w:p w14:paraId="62D286E2" w14:textId="77777777" w:rsidR="00C61E49" w:rsidRDefault="00C61E49" w:rsidP="00FF6B5C">
      <w:pPr>
        <w:spacing w:line="360" w:lineRule="auto"/>
        <w:jc w:val="both"/>
      </w:pPr>
    </w:p>
    <w:p w14:paraId="6BF4CE5F" w14:textId="77777777" w:rsidR="00C61E49" w:rsidRDefault="00C61E49" w:rsidP="00FF6B5C">
      <w:pPr>
        <w:spacing w:line="360" w:lineRule="auto"/>
        <w:jc w:val="both"/>
      </w:pPr>
    </w:p>
    <w:p w14:paraId="6C38200A" w14:textId="77777777" w:rsidR="00C61E49" w:rsidRDefault="00C61E49" w:rsidP="00FF6B5C">
      <w:pPr>
        <w:spacing w:line="360" w:lineRule="auto"/>
        <w:jc w:val="both"/>
      </w:pPr>
      <w:bookmarkStart w:id="0" w:name="_GoBack"/>
      <w:bookmarkEnd w:id="0"/>
    </w:p>
    <w:p w14:paraId="7684DF21" w14:textId="77777777" w:rsidR="00FF6B5C" w:rsidRDefault="00FF6B5C" w:rsidP="00FF6B5C">
      <w:pPr>
        <w:spacing w:line="360" w:lineRule="auto"/>
        <w:jc w:val="both"/>
      </w:pPr>
    </w:p>
    <w:p w14:paraId="6270DAD0" w14:textId="77777777" w:rsidR="00FF6B5C" w:rsidRDefault="00FF6B5C" w:rsidP="00FF6B5C">
      <w:pPr>
        <w:spacing w:line="360" w:lineRule="auto"/>
        <w:jc w:val="both"/>
      </w:pPr>
    </w:p>
    <w:p w14:paraId="1E875813" w14:textId="77777777" w:rsidR="00FF6B5C" w:rsidRDefault="00FF6B5C" w:rsidP="00FF6B5C">
      <w:pPr>
        <w:spacing w:line="360" w:lineRule="auto"/>
        <w:jc w:val="both"/>
      </w:pPr>
    </w:p>
    <w:p w14:paraId="10F61BFB" w14:textId="12BCBE83" w:rsidR="00370EFC" w:rsidRDefault="00055BBC" w:rsidP="004425F9">
      <w:pPr>
        <w:spacing w:line="360" w:lineRule="auto"/>
      </w:pPr>
      <w:r>
        <w:lastRenderedPageBreak/>
        <w:t>REFERENCES</w:t>
      </w:r>
    </w:p>
    <w:p w14:paraId="13CE2E06" w14:textId="7B233A1F" w:rsidR="003B2691" w:rsidRPr="003B2691" w:rsidRDefault="00370EFC" w:rsidP="003B2691">
      <w:pPr>
        <w:widowControl w:val="0"/>
        <w:autoSpaceDE w:val="0"/>
        <w:autoSpaceDN w:val="0"/>
        <w:adjustRightInd w:val="0"/>
        <w:spacing w:line="36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3B2691" w:rsidRPr="003B2691">
        <w:rPr>
          <w:rFonts w:ascii="Calibri" w:hAnsi="Calibri" w:cs="Times New Roman"/>
          <w:noProof/>
          <w:szCs w:val="24"/>
        </w:rPr>
        <w:t xml:space="preserve">Adler P.B., Fajardo A., Kleinhesselink A.R. &amp; Kraft N.J.B. (2013) Trait-based tests of coexistence mechanisms. </w:t>
      </w:r>
      <w:r w:rsidR="003B2691" w:rsidRPr="003B2691">
        <w:rPr>
          <w:rFonts w:ascii="Calibri" w:hAnsi="Calibri" w:cs="Times New Roman"/>
          <w:i/>
          <w:iCs/>
          <w:noProof/>
          <w:szCs w:val="24"/>
        </w:rPr>
        <w:t>Ecology Letters</w:t>
      </w:r>
      <w:r w:rsidR="003B2691" w:rsidRPr="003B2691">
        <w:rPr>
          <w:rFonts w:ascii="Calibri" w:hAnsi="Calibri" w:cs="Times New Roman"/>
          <w:noProof/>
          <w:szCs w:val="24"/>
        </w:rPr>
        <w:t xml:space="preserve"> </w:t>
      </w:r>
      <w:r w:rsidR="003B2691" w:rsidRPr="003B2691">
        <w:rPr>
          <w:rFonts w:ascii="Calibri" w:hAnsi="Calibri" w:cs="Times New Roman"/>
          <w:b/>
          <w:bCs/>
          <w:noProof/>
          <w:szCs w:val="24"/>
        </w:rPr>
        <w:t>16</w:t>
      </w:r>
      <w:r w:rsidR="003B2691" w:rsidRPr="003B2691">
        <w:rPr>
          <w:rFonts w:ascii="Calibri" w:hAnsi="Calibri" w:cs="Times New Roman"/>
          <w:noProof/>
          <w:szCs w:val="24"/>
        </w:rPr>
        <w:t>, 1294–1306.</w:t>
      </w:r>
    </w:p>
    <w:p w14:paraId="67C8687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Arthington A., Mackay S., James C., Rolls R., Sternberg D., Barnes A., </w:t>
      </w:r>
      <w:r w:rsidRPr="003B2691">
        <w:rPr>
          <w:rFonts w:ascii="Calibri" w:hAnsi="Calibri" w:cs="Times New Roman"/>
          <w:i/>
          <w:iCs/>
          <w:noProof/>
          <w:szCs w:val="24"/>
        </w:rPr>
        <w:t>et al.</w:t>
      </w:r>
      <w:r w:rsidRPr="003B2691">
        <w:rPr>
          <w:rFonts w:ascii="Calibri" w:hAnsi="Calibri" w:cs="Times New Roman"/>
          <w:noProof/>
          <w:szCs w:val="24"/>
        </w:rPr>
        <w:t xml:space="preserve"> (2012) Ecological limits of hydrologic alteration: a test of the ELoHA framework in south-east Queensland. Waterlines Report Series No. 75. </w:t>
      </w:r>
      <w:r w:rsidRPr="003B2691">
        <w:rPr>
          <w:rFonts w:ascii="Calibri" w:hAnsi="Calibri" w:cs="Times New Roman"/>
          <w:i/>
          <w:iCs/>
          <w:noProof/>
          <w:szCs w:val="24"/>
        </w:rPr>
        <w:t>National Water Commission, Canberra, Australia</w:t>
      </w:r>
      <w:r w:rsidRPr="003B2691">
        <w:rPr>
          <w:rFonts w:ascii="Calibri" w:hAnsi="Calibri" w:cs="Times New Roman"/>
          <w:noProof/>
          <w:szCs w:val="24"/>
        </w:rPr>
        <w:t>.</w:t>
      </w:r>
    </w:p>
    <w:p w14:paraId="0E5C26E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Barton K. (2012) MuMIn: multi-model inference. </w:t>
      </w:r>
      <w:r w:rsidRPr="003B2691">
        <w:rPr>
          <w:rFonts w:ascii="Calibri" w:hAnsi="Calibri" w:cs="Times New Roman"/>
          <w:i/>
          <w:iCs/>
          <w:noProof/>
          <w:szCs w:val="24"/>
        </w:rPr>
        <w:t>R package version</w:t>
      </w:r>
      <w:r w:rsidRPr="003B2691">
        <w:rPr>
          <w:rFonts w:ascii="Calibri" w:hAnsi="Calibri" w:cs="Times New Roman"/>
          <w:noProof/>
          <w:szCs w:val="24"/>
        </w:rPr>
        <w:t xml:space="preserve"> </w:t>
      </w:r>
      <w:r w:rsidRPr="003B2691">
        <w:rPr>
          <w:rFonts w:ascii="Calibri" w:hAnsi="Calibri" w:cs="Times New Roman"/>
          <w:b/>
          <w:bCs/>
          <w:noProof/>
          <w:szCs w:val="24"/>
        </w:rPr>
        <w:t>1</w:t>
      </w:r>
      <w:r w:rsidRPr="003B2691">
        <w:rPr>
          <w:rFonts w:ascii="Calibri" w:hAnsi="Calibri" w:cs="Times New Roman"/>
          <w:noProof/>
          <w:szCs w:val="24"/>
        </w:rPr>
        <w:t>.</w:t>
      </w:r>
    </w:p>
    <w:p w14:paraId="004D099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Bendix J. (1997) Flood disturbance and the distribution of riparian diversity. </w:t>
      </w:r>
      <w:r w:rsidRPr="003B2691">
        <w:rPr>
          <w:rFonts w:ascii="Calibri" w:hAnsi="Calibri" w:cs="Times New Roman"/>
          <w:i/>
          <w:iCs/>
          <w:noProof/>
          <w:szCs w:val="24"/>
        </w:rPr>
        <w:t>Geographical Review</w:t>
      </w:r>
      <w:r w:rsidRPr="003B2691">
        <w:rPr>
          <w:rFonts w:ascii="Calibri" w:hAnsi="Calibri" w:cs="Times New Roman"/>
          <w:noProof/>
          <w:szCs w:val="24"/>
        </w:rPr>
        <w:t xml:space="preserve"> </w:t>
      </w:r>
      <w:r w:rsidRPr="003B2691">
        <w:rPr>
          <w:rFonts w:ascii="Calibri" w:hAnsi="Calibri" w:cs="Times New Roman"/>
          <w:b/>
          <w:bCs/>
          <w:noProof/>
          <w:szCs w:val="24"/>
        </w:rPr>
        <w:t>87</w:t>
      </w:r>
      <w:r w:rsidRPr="003B2691">
        <w:rPr>
          <w:rFonts w:ascii="Calibri" w:hAnsi="Calibri" w:cs="Times New Roman"/>
          <w:noProof/>
          <w:szCs w:val="24"/>
        </w:rPr>
        <w:t>, 468–483.</w:t>
      </w:r>
    </w:p>
    <w:p w14:paraId="2675BD0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Bendix J. &amp; Hupp C. (2000) Hydrological and geomorphological impacts on riparian plant communities. </w:t>
      </w:r>
      <w:r w:rsidRPr="003B2691">
        <w:rPr>
          <w:rFonts w:ascii="Calibri" w:hAnsi="Calibri" w:cs="Times New Roman"/>
          <w:i/>
          <w:iCs/>
          <w:noProof/>
          <w:szCs w:val="24"/>
        </w:rPr>
        <w:t>Hydrological Processes</w:t>
      </w:r>
      <w:r w:rsidRPr="003B2691">
        <w:rPr>
          <w:rFonts w:ascii="Calibri" w:hAnsi="Calibri" w:cs="Times New Roman"/>
          <w:noProof/>
          <w:szCs w:val="24"/>
        </w:rPr>
        <w:t xml:space="preserve"> </w:t>
      </w:r>
      <w:r w:rsidRPr="003B2691">
        <w:rPr>
          <w:rFonts w:ascii="Calibri" w:hAnsi="Calibri" w:cs="Times New Roman"/>
          <w:b/>
          <w:bCs/>
          <w:noProof/>
          <w:szCs w:val="24"/>
        </w:rPr>
        <w:t>14</w:t>
      </w:r>
      <w:r w:rsidRPr="003B2691">
        <w:rPr>
          <w:rFonts w:ascii="Calibri" w:hAnsi="Calibri" w:cs="Times New Roman"/>
          <w:noProof/>
          <w:szCs w:val="24"/>
        </w:rPr>
        <w:t>, 2977–2990.</w:t>
      </w:r>
    </w:p>
    <w:p w14:paraId="0DE065F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BRS (2002) Land Use Mapping at Catchment Scale – Principles, Procedures and Definitions.</w:t>
      </w:r>
    </w:p>
    <w:p w14:paraId="74B5A3F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Burnham K.P. &amp; Anderson D.R. (2002) </w:t>
      </w:r>
      <w:r w:rsidRPr="003B2691">
        <w:rPr>
          <w:rFonts w:ascii="Calibri" w:hAnsi="Calibri" w:cs="Times New Roman"/>
          <w:i/>
          <w:iCs/>
          <w:noProof/>
          <w:szCs w:val="24"/>
        </w:rPr>
        <w:t>Model selection and multimodel inference: a practical information-theoretic approach</w:t>
      </w:r>
      <w:r w:rsidRPr="003B2691">
        <w:rPr>
          <w:rFonts w:ascii="Calibri" w:hAnsi="Calibri" w:cs="Times New Roman"/>
          <w:noProof/>
          <w:szCs w:val="24"/>
        </w:rPr>
        <w:t>. Springer, New York City.</w:t>
      </w:r>
    </w:p>
    <w:p w14:paraId="775FA9F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Busby J.R. (1991) BIOCLIM-a bioclimate analysis and prediction system. </w:t>
      </w:r>
      <w:r w:rsidRPr="003B2691">
        <w:rPr>
          <w:rFonts w:ascii="Calibri" w:hAnsi="Calibri" w:cs="Times New Roman"/>
          <w:i/>
          <w:iCs/>
          <w:noProof/>
          <w:szCs w:val="24"/>
        </w:rPr>
        <w:t>Plant Protection Quarterly (Australia)</w:t>
      </w:r>
      <w:r w:rsidRPr="003B2691">
        <w:rPr>
          <w:rFonts w:ascii="Calibri" w:hAnsi="Calibri" w:cs="Times New Roman"/>
          <w:noProof/>
          <w:szCs w:val="24"/>
        </w:rPr>
        <w:t>.</w:t>
      </w:r>
    </w:p>
    <w:p w14:paraId="2C078EB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Cailliez F. (1983) The analytical solution of the additive constant problem. </w:t>
      </w:r>
      <w:r w:rsidRPr="003B2691">
        <w:rPr>
          <w:rFonts w:ascii="Calibri" w:hAnsi="Calibri" w:cs="Times New Roman"/>
          <w:i/>
          <w:iCs/>
          <w:noProof/>
          <w:szCs w:val="24"/>
        </w:rPr>
        <w:t>Psychometrika</w:t>
      </w:r>
      <w:r w:rsidRPr="003B2691">
        <w:rPr>
          <w:rFonts w:ascii="Calibri" w:hAnsi="Calibri" w:cs="Times New Roman"/>
          <w:noProof/>
          <w:szCs w:val="24"/>
        </w:rPr>
        <w:t xml:space="preserve"> </w:t>
      </w:r>
      <w:r w:rsidRPr="003B2691">
        <w:rPr>
          <w:rFonts w:ascii="Calibri" w:hAnsi="Calibri" w:cs="Times New Roman"/>
          <w:b/>
          <w:bCs/>
          <w:noProof/>
          <w:szCs w:val="24"/>
        </w:rPr>
        <w:t>48</w:t>
      </w:r>
      <w:r w:rsidRPr="003B2691">
        <w:rPr>
          <w:rFonts w:ascii="Calibri" w:hAnsi="Calibri" w:cs="Times New Roman"/>
          <w:noProof/>
          <w:szCs w:val="24"/>
        </w:rPr>
        <w:t>, 305–308.</w:t>
      </w:r>
    </w:p>
    <w:p w14:paraId="38FBE32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Callaway R.M. (1995) Positive interactions among plants. </w:t>
      </w:r>
      <w:r w:rsidRPr="003B2691">
        <w:rPr>
          <w:rFonts w:ascii="Calibri" w:hAnsi="Calibri" w:cs="Times New Roman"/>
          <w:i/>
          <w:iCs/>
          <w:noProof/>
          <w:szCs w:val="24"/>
        </w:rPr>
        <w:t>The Botanical Review</w:t>
      </w:r>
      <w:r w:rsidRPr="003B2691">
        <w:rPr>
          <w:rFonts w:ascii="Calibri" w:hAnsi="Calibri" w:cs="Times New Roman"/>
          <w:noProof/>
          <w:szCs w:val="24"/>
        </w:rPr>
        <w:t xml:space="preserve"> </w:t>
      </w:r>
      <w:r w:rsidRPr="003B2691">
        <w:rPr>
          <w:rFonts w:ascii="Calibri" w:hAnsi="Calibri" w:cs="Times New Roman"/>
          <w:b/>
          <w:bCs/>
          <w:noProof/>
          <w:szCs w:val="24"/>
        </w:rPr>
        <w:t>61</w:t>
      </w:r>
      <w:r w:rsidRPr="003B2691">
        <w:rPr>
          <w:rFonts w:ascii="Calibri" w:hAnsi="Calibri" w:cs="Times New Roman"/>
          <w:noProof/>
          <w:szCs w:val="24"/>
        </w:rPr>
        <w:t>, 306–349.</w:t>
      </w:r>
    </w:p>
    <w:p w14:paraId="3246C1C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Catford J.A., Downes B.J., Gippel C.J. &amp; Vesk P.A. (2011) Flow regulation reduces native plant cover and facilitates exotic invasion in riparian wetlands. </w:t>
      </w:r>
      <w:r w:rsidRPr="003B2691">
        <w:rPr>
          <w:rFonts w:ascii="Calibri" w:hAnsi="Calibri" w:cs="Times New Roman"/>
          <w:i/>
          <w:iCs/>
          <w:noProof/>
          <w:szCs w:val="24"/>
        </w:rPr>
        <w:t>Journal of Applied Ecology</w:t>
      </w:r>
      <w:r w:rsidRPr="003B2691">
        <w:rPr>
          <w:rFonts w:ascii="Calibri" w:hAnsi="Calibri" w:cs="Times New Roman"/>
          <w:noProof/>
          <w:szCs w:val="24"/>
        </w:rPr>
        <w:t xml:space="preserve"> </w:t>
      </w:r>
      <w:r w:rsidRPr="003B2691">
        <w:rPr>
          <w:rFonts w:ascii="Calibri" w:hAnsi="Calibri" w:cs="Times New Roman"/>
          <w:b/>
          <w:bCs/>
          <w:noProof/>
          <w:szCs w:val="24"/>
        </w:rPr>
        <w:t>48</w:t>
      </w:r>
      <w:r w:rsidRPr="003B2691">
        <w:rPr>
          <w:rFonts w:ascii="Calibri" w:hAnsi="Calibri" w:cs="Times New Roman"/>
          <w:noProof/>
          <w:szCs w:val="24"/>
        </w:rPr>
        <w:t>, 432–442.</w:t>
      </w:r>
    </w:p>
    <w:p w14:paraId="5F851BB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Chao A. (1987) Estimating the Population Size for Capture-Recapture Data with Unequal Catchability. </w:t>
      </w:r>
      <w:r w:rsidRPr="003B2691">
        <w:rPr>
          <w:rFonts w:ascii="Calibri" w:hAnsi="Calibri" w:cs="Times New Roman"/>
          <w:i/>
          <w:iCs/>
          <w:noProof/>
          <w:szCs w:val="24"/>
        </w:rPr>
        <w:t>Biometrics</w:t>
      </w:r>
      <w:r w:rsidRPr="003B2691">
        <w:rPr>
          <w:rFonts w:ascii="Calibri" w:hAnsi="Calibri" w:cs="Times New Roman"/>
          <w:noProof/>
          <w:szCs w:val="24"/>
        </w:rPr>
        <w:t xml:space="preserve"> </w:t>
      </w:r>
      <w:r w:rsidRPr="003B2691">
        <w:rPr>
          <w:rFonts w:ascii="Calibri" w:hAnsi="Calibri" w:cs="Times New Roman"/>
          <w:b/>
          <w:bCs/>
          <w:noProof/>
          <w:szCs w:val="24"/>
        </w:rPr>
        <w:t>43</w:t>
      </w:r>
      <w:r w:rsidRPr="003B2691">
        <w:rPr>
          <w:rFonts w:ascii="Calibri" w:hAnsi="Calibri" w:cs="Times New Roman"/>
          <w:noProof/>
          <w:szCs w:val="24"/>
        </w:rPr>
        <w:t>, 783–791.</w:t>
      </w:r>
    </w:p>
    <w:p w14:paraId="1084A08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Chesson P. (2000) Mechanisms of maintenance of species diversity. </w:t>
      </w:r>
      <w:r w:rsidRPr="003B2691">
        <w:rPr>
          <w:rFonts w:ascii="Calibri" w:hAnsi="Calibri" w:cs="Times New Roman"/>
          <w:i/>
          <w:iCs/>
          <w:noProof/>
          <w:szCs w:val="24"/>
        </w:rPr>
        <w:t>Annual Review of Ecology and Systematics</w:t>
      </w:r>
      <w:r w:rsidRPr="003B2691">
        <w:rPr>
          <w:rFonts w:ascii="Calibri" w:hAnsi="Calibri" w:cs="Times New Roman"/>
          <w:noProof/>
          <w:szCs w:val="24"/>
        </w:rPr>
        <w:t xml:space="preserve"> </w:t>
      </w:r>
      <w:r w:rsidRPr="003B2691">
        <w:rPr>
          <w:rFonts w:ascii="Calibri" w:hAnsi="Calibri" w:cs="Times New Roman"/>
          <w:b/>
          <w:bCs/>
          <w:noProof/>
          <w:szCs w:val="24"/>
        </w:rPr>
        <w:t>31</w:t>
      </w:r>
      <w:r w:rsidRPr="003B2691">
        <w:rPr>
          <w:rFonts w:ascii="Calibri" w:hAnsi="Calibri" w:cs="Times New Roman"/>
          <w:noProof/>
          <w:szCs w:val="24"/>
        </w:rPr>
        <w:t>, 343–366.</w:t>
      </w:r>
    </w:p>
    <w:p w14:paraId="4B0E661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Cooper S.D., Lake P.S., Sabater S., Melack J.M. &amp; Sabo J.L. (2013) The effects of land use changes on streams and rivers in mediterranean climates. </w:t>
      </w:r>
      <w:r w:rsidRPr="003B2691">
        <w:rPr>
          <w:rFonts w:ascii="Calibri" w:hAnsi="Calibri" w:cs="Times New Roman"/>
          <w:i/>
          <w:iCs/>
          <w:noProof/>
          <w:szCs w:val="24"/>
        </w:rPr>
        <w:t>Hydrobiologia</w:t>
      </w:r>
      <w:r w:rsidRPr="003B2691">
        <w:rPr>
          <w:rFonts w:ascii="Calibri" w:hAnsi="Calibri" w:cs="Times New Roman"/>
          <w:noProof/>
          <w:szCs w:val="24"/>
        </w:rPr>
        <w:t xml:space="preserve"> </w:t>
      </w:r>
      <w:r w:rsidRPr="003B2691">
        <w:rPr>
          <w:rFonts w:ascii="Calibri" w:hAnsi="Calibri" w:cs="Times New Roman"/>
          <w:b/>
          <w:bCs/>
          <w:noProof/>
          <w:szCs w:val="24"/>
        </w:rPr>
        <w:t>719</w:t>
      </w:r>
      <w:r w:rsidRPr="003B2691">
        <w:rPr>
          <w:rFonts w:ascii="Calibri" w:hAnsi="Calibri" w:cs="Times New Roman"/>
          <w:noProof/>
          <w:szCs w:val="24"/>
        </w:rPr>
        <w:t>, 383–425.</w:t>
      </w:r>
    </w:p>
    <w:p w14:paraId="026EF8B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Corenblit D., Steiger J., Gurnell A.M., Tabacchi E. &amp; Roques L. (2009) Control of sediment dynamics by vegetation as a key function driving biogeomorphic succession within fluvial corridors. </w:t>
      </w:r>
      <w:r w:rsidRPr="003B2691">
        <w:rPr>
          <w:rFonts w:ascii="Calibri" w:hAnsi="Calibri" w:cs="Times New Roman"/>
          <w:i/>
          <w:iCs/>
          <w:noProof/>
          <w:szCs w:val="24"/>
        </w:rPr>
        <w:t xml:space="preserve">Earth </w:t>
      </w:r>
      <w:r w:rsidRPr="003B2691">
        <w:rPr>
          <w:rFonts w:ascii="Calibri" w:hAnsi="Calibri" w:cs="Times New Roman"/>
          <w:i/>
          <w:iCs/>
          <w:noProof/>
          <w:szCs w:val="24"/>
        </w:rPr>
        <w:lastRenderedPageBreak/>
        <w:t>Surface Processes and Landforms</w:t>
      </w:r>
      <w:r w:rsidRPr="003B2691">
        <w:rPr>
          <w:rFonts w:ascii="Calibri" w:hAnsi="Calibri" w:cs="Times New Roman"/>
          <w:noProof/>
          <w:szCs w:val="24"/>
        </w:rPr>
        <w:t xml:space="preserve"> </w:t>
      </w:r>
      <w:r w:rsidRPr="003B2691">
        <w:rPr>
          <w:rFonts w:ascii="Calibri" w:hAnsi="Calibri" w:cs="Times New Roman"/>
          <w:b/>
          <w:bCs/>
          <w:noProof/>
          <w:szCs w:val="24"/>
        </w:rPr>
        <w:t>1810</w:t>
      </w:r>
      <w:r w:rsidRPr="003B2691">
        <w:rPr>
          <w:rFonts w:ascii="Calibri" w:hAnsi="Calibri" w:cs="Times New Roman"/>
          <w:noProof/>
          <w:szCs w:val="24"/>
        </w:rPr>
        <w:t>, 1790–1810.</w:t>
      </w:r>
    </w:p>
    <w:p w14:paraId="76484A1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Corenblit D., Tabacchi E., Steiger J. &amp; Gurnell A.M. (2007) Reciprocal interactions and adjustments between fluvial landforms and vegetation dynamics in river corridors: A review of complementary approaches. </w:t>
      </w:r>
      <w:r w:rsidRPr="003B2691">
        <w:rPr>
          <w:rFonts w:ascii="Calibri" w:hAnsi="Calibri" w:cs="Times New Roman"/>
          <w:i/>
          <w:iCs/>
          <w:noProof/>
          <w:szCs w:val="24"/>
        </w:rPr>
        <w:t>Earth-Science Reviews</w:t>
      </w:r>
      <w:r w:rsidRPr="003B2691">
        <w:rPr>
          <w:rFonts w:ascii="Calibri" w:hAnsi="Calibri" w:cs="Times New Roman"/>
          <w:noProof/>
          <w:szCs w:val="24"/>
        </w:rPr>
        <w:t xml:space="preserve"> </w:t>
      </w:r>
      <w:r w:rsidRPr="003B2691">
        <w:rPr>
          <w:rFonts w:ascii="Calibri" w:hAnsi="Calibri" w:cs="Times New Roman"/>
          <w:b/>
          <w:bCs/>
          <w:noProof/>
          <w:szCs w:val="24"/>
        </w:rPr>
        <w:t>84</w:t>
      </w:r>
      <w:r w:rsidRPr="003B2691">
        <w:rPr>
          <w:rFonts w:ascii="Calibri" w:hAnsi="Calibri" w:cs="Times New Roman"/>
          <w:noProof/>
          <w:szCs w:val="24"/>
        </w:rPr>
        <w:t>, 56–86.</w:t>
      </w:r>
    </w:p>
    <w:p w14:paraId="4E4F246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Cornelissen J.H.C.A., Lavorel S.B., Garnier E.B., Díaz S.C., Buchmann N.D., Gurvich D.E.C., </w:t>
      </w:r>
      <w:r w:rsidRPr="003B2691">
        <w:rPr>
          <w:rFonts w:ascii="Calibri" w:hAnsi="Calibri" w:cs="Times New Roman"/>
          <w:i/>
          <w:iCs/>
          <w:noProof/>
          <w:szCs w:val="24"/>
        </w:rPr>
        <w:t>et al.</w:t>
      </w:r>
      <w:r w:rsidRPr="003B2691">
        <w:rPr>
          <w:rFonts w:ascii="Calibri" w:hAnsi="Calibri" w:cs="Times New Roman"/>
          <w:noProof/>
          <w:szCs w:val="24"/>
        </w:rPr>
        <w:t xml:space="preserve"> (2003) A handbook of protocols for standardised and easy measurement of plant functional traits worldwide. </w:t>
      </w:r>
      <w:r w:rsidRPr="003B2691">
        <w:rPr>
          <w:rFonts w:ascii="Calibri" w:hAnsi="Calibri" w:cs="Times New Roman"/>
          <w:i/>
          <w:iCs/>
          <w:noProof/>
          <w:szCs w:val="24"/>
        </w:rPr>
        <w:t>Australian Journal of Botany</w:t>
      </w:r>
      <w:r w:rsidRPr="003B2691">
        <w:rPr>
          <w:rFonts w:ascii="Calibri" w:hAnsi="Calibri" w:cs="Times New Roman"/>
          <w:noProof/>
          <w:szCs w:val="24"/>
        </w:rPr>
        <w:t xml:space="preserve"> </w:t>
      </w:r>
      <w:r w:rsidRPr="003B2691">
        <w:rPr>
          <w:rFonts w:ascii="Calibri" w:hAnsi="Calibri" w:cs="Times New Roman"/>
          <w:b/>
          <w:bCs/>
          <w:noProof/>
          <w:szCs w:val="24"/>
        </w:rPr>
        <w:t>51</w:t>
      </w:r>
      <w:r w:rsidRPr="003B2691">
        <w:rPr>
          <w:rFonts w:ascii="Calibri" w:hAnsi="Calibri" w:cs="Times New Roman"/>
          <w:noProof/>
          <w:szCs w:val="24"/>
        </w:rPr>
        <w:t>, 335–380.</w:t>
      </w:r>
    </w:p>
    <w:p w14:paraId="4D338DD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Costanza J.K., Moody A. &amp; Peet R.K. (2011) Multi-scale environmental heterogeneity as a predictor of plant species richness. </w:t>
      </w:r>
      <w:r w:rsidRPr="003B2691">
        <w:rPr>
          <w:rFonts w:ascii="Calibri" w:hAnsi="Calibri" w:cs="Times New Roman"/>
          <w:i/>
          <w:iCs/>
          <w:noProof/>
          <w:szCs w:val="24"/>
        </w:rPr>
        <w:t>Landscape Ecology</w:t>
      </w:r>
      <w:r w:rsidRPr="003B2691">
        <w:rPr>
          <w:rFonts w:ascii="Calibri" w:hAnsi="Calibri" w:cs="Times New Roman"/>
          <w:noProof/>
          <w:szCs w:val="24"/>
        </w:rPr>
        <w:t xml:space="preserve"> </w:t>
      </w:r>
      <w:r w:rsidRPr="003B2691">
        <w:rPr>
          <w:rFonts w:ascii="Calibri" w:hAnsi="Calibri" w:cs="Times New Roman"/>
          <w:b/>
          <w:bCs/>
          <w:noProof/>
          <w:szCs w:val="24"/>
        </w:rPr>
        <w:t>26</w:t>
      </w:r>
      <w:r w:rsidRPr="003B2691">
        <w:rPr>
          <w:rFonts w:ascii="Calibri" w:hAnsi="Calibri" w:cs="Times New Roman"/>
          <w:noProof/>
          <w:szCs w:val="24"/>
        </w:rPr>
        <w:t>, 851–864.</w:t>
      </w:r>
    </w:p>
    <w:p w14:paraId="4DD5E49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Eastman J.M., Paine C.E.T. &amp; Hardy O.J. (2011) spacodiR: structuring of phylogenetic diversity in ecological communities. </w:t>
      </w:r>
      <w:r w:rsidRPr="003B2691">
        <w:rPr>
          <w:rFonts w:ascii="Calibri" w:hAnsi="Calibri" w:cs="Times New Roman"/>
          <w:i/>
          <w:iCs/>
          <w:noProof/>
          <w:szCs w:val="24"/>
        </w:rPr>
        <w:t>Bioinformatics</w:t>
      </w:r>
      <w:r w:rsidRPr="003B2691">
        <w:rPr>
          <w:rFonts w:ascii="Calibri" w:hAnsi="Calibri" w:cs="Times New Roman"/>
          <w:noProof/>
          <w:szCs w:val="24"/>
        </w:rPr>
        <w:t xml:space="preserve"> </w:t>
      </w:r>
      <w:r w:rsidRPr="003B2691">
        <w:rPr>
          <w:rFonts w:ascii="Calibri" w:hAnsi="Calibri" w:cs="Times New Roman"/>
          <w:b/>
          <w:bCs/>
          <w:noProof/>
          <w:szCs w:val="24"/>
        </w:rPr>
        <w:t>27</w:t>
      </w:r>
      <w:r w:rsidRPr="003B2691">
        <w:rPr>
          <w:rFonts w:ascii="Calibri" w:hAnsi="Calibri" w:cs="Times New Roman"/>
          <w:noProof/>
          <w:szCs w:val="24"/>
        </w:rPr>
        <w:t>, 2437–2438.</w:t>
      </w:r>
    </w:p>
    <w:p w14:paraId="21B08E5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Falster D.S. (2006) Sapling strength and safety: the importance of wood density in tropical forests. </w:t>
      </w:r>
      <w:r w:rsidRPr="003B2691">
        <w:rPr>
          <w:rFonts w:ascii="Calibri" w:hAnsi="Calibri" w:cs="Times New Roman"/>
          <w:i/>
          <w:iCs/>
          <w:noProof/>
          <w:szCs w:val="24"/>
        </w:rPr>
        <w:t>The New Phytologist</w:t>
      </w:r>
      <w:r w:rsidRPr="003B2691">
        <w:rPr>
          <w:rFonts w:ascii="Calibri" w:hAnsi="Calibri" w:cs="Times New Roman"/>
          <w:noProof/>
          <w:szCs w:val="24"/>
        </w:rPr>
        <w:t xml:space="preserve"> </w:t>
      </w:r>
      <w:r w:rsidRPr="003B2691">
        <w:rPr>
          <w:rFonts w:ascii="Calibri" w:hAnsi="Calibri" w:cs="Times New Roman"/>
          <w:b/>
          <w:bCs/>
          <w:noProof/>
          <w:szCs w:val="24"/>
        </w:rPr>
        <w:t>171</w:t>
      </w:r>
      <w:r w:rsidRPr="003B2691">
        <w:rPr>
          <w:rFonts w:ascii="Calibri" w:hAnsi="Calibri" w:cs="Times New Roman"/>
          <w:noProof/>
          <w:szCs w:val="24"/>
        </w:rPr>
        <w:t>, 237–239.</w:t>
      </w:r>
    </w:p>
    <w:p w14:paraId="0D516CA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Fonseca C.R., Overton J.M., Collins B. &amp; Westoby M. (2000) Shifts in trait-combinations along rainfall and phosphorus gradients. </w:t>
      </w:r>
      <w:r w:rsidRPr="003B2691">
        <w:rPr>
          <w:rFonts w:ascii="Calibri" w:hAnsi="Calibri" w:cs="Times New Roman"/>
          <w:i/>
          <w:iCs/>
          <w:noProof/>
          <w:szCs w:val="24"/>
        </w:rPr>
        <w:t>Journal of Ecology</w:t>
      </w:r>
      <w:r w:rsidRPr="003B2691">
        <w:rPr>
          <w:rFonts w:ascii="Calibri" w:hAnsi="Calibri" w:cs="Times New Roman"/>
          <w:noProof/>
          <w:szCs w:val="24"/>
        </w:rPr>
        <w:t xml:space="preserve"> </w:t>
      </w:r>
      <w:r w:rsidRPr="003B2691">
        <w:rPr>
          <w:rFonts w:ascii="Calibri" w:hAnsi="Calibri" w:cs="Times New Roman"/>
          <w:b/>
          <w:bCs/>
          <w:noProof/>
          <w:szCs w:val="24"/>
        </w:rPr>
        <w:t>88</w:t>
      </w:r>
      <w:r w:rsidRPr="003B2691">
        <w:rPr>
          <w:rFonts w:ascii="Calibri" w:hAnsi="Calibri" w:cs="Times New Roman"/>
          <w:noProof/>
          <w:szCs w:val="24"/>
        </w:rPr>
        <w:t>, 964–977.</w:t>
      </w:r>
    </w:p>
    <w:p w14:paraId="07C1523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Foster D., Swanson F., Aber J., Burke I., Brokaw N., Tilman D., </w:t>
      </w:r>
      <w:r w:rsidRPr="003B2691">
        <w:rPr>
          <w:rFonts w:ascii="Calibri" w:hAnsi="Calibri" w:cs="Times New Roman"/>
          <w:i/>
          <w:iCs/>
          <w:noProof/>
          <w:szCs w:val="24"/>
        </w:rPr>
        <w:t>et al.</w:t>
      </w:r>
      <w:r w:rsidRPr="003B2691">
        <w:rPr>
          <w:rFonts w:ascii="Calibri" w:hAnsi="Calibri" w:cs="Times New Roman"/>
          <w:noProof/>
          <w:szCs w:val="24"/>
        </w:rPr>
        <w:t xml:space="preserve"> (2003) The importance of land-use legacies to ecology and conservation. </w:t>
      </w:r>
      <w:r w:rsidRPr="003B2691">
        <w:rPr>
          <w:rFonts w:ascii="Calibri" w:hAnsi="Calibri" w:cs="Times New Roman"/>
          <w:i/>
          <w:iCs/>
          <w:noProof/>
          <w:szCs w:val="24"/>
        </w:rPr>
        <w:t>BioScience</w:t>
      </w:r>
      <w:r w:rsidRPr="003B2691">
        <w:rPr>
          <w:rFonts w:ascii="Calibri" w:hAnsi="Calibri" w:cs="Times New Roman"/>
          <w:noProof/>
          <w:szCs w:val="24"/>
        </w:rPr>
        <w:t xml:space="preserve"> </w:t>
      </w:r>
      <w:r w:rsidRPr="003B2691">
        <w:rPr>
          <w:rFonts w:ascii="Calibri" w:hAnsi="Calibri" w:cs="Times New Roman"/>
          <w:b/>
          <w:bCs/>
          <w:noProof/>
          <w:szCs w:val="24"/>
        </w:rPr>
        <w:t>53</w:t>
      </w:r>
      <w:r w:rsidRPr="003B2691">
        <w:rPr>
          <w:rFonts w:ascii="Calibri" w:hAnsi="Calibri" w:cs="Times New Roman"/>
          <w:noProof/>
          <w:szCs w:val="24"/>
        </w:rPr>
        <w:t>, 77.</w:t>
      </w:r>
    </w:p>
    <w:p w14:paraId="1E7B561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Fryirs K.A. &amp; Brierley G.J. (2012) </w:t>
      </w:r>
      <w:r w:rsidRPr="003B2691">
        <w:rPr>
          <w:rFonts w:ascii="Calibri" w:hAnsi="Calibri" w:cs="Times New Roman"/>
          <w:i/>
          <w:iCs/>
          <w:noProof/>
          <w:szCs w:val="24"/>
        </w:rPr>
        <w:t>Geomorphic analysis of river systems: an approach to reading the landscape</w:t>
      </w:r>
      <w:r w:rsidRPr="003B2691">
        <w:rPr>
          <w:rFonts w:ascii="Calibri" w:hAnsi="Calibri" w:cs="Times New Roman"/>
          <w:noProof/>
          <w:szCs w:val="24"/>
        </w:rPr>
        <w:t>. John Wiley &amp; Sons.</w:t>
      </w:r>
    </w:p>
    <w:p w14:paraId="7CA2182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Gallagher R. V &amp; Leishman M.R. (2012) Contrasting patterns of trait-based community assembly in lianas and trees from temperate Australia. </w:t>
      </w:r>
      <w:r w:rsidRPr="003B2691">
        <w:rPr>
          <w:rFonts w:ascii="Calibri" w:hAnsi="Calibri" w:cs="Times New Roman"/>
          <w:i/>
          <w:iCs/>
          <w:noProof/>
          <w:szCs w:val="24"/>
        </w:rPr>
        <w:t>Oikos</w:t>
      </w:r>
      <w:r w:rsidRPr="003B2691">
        <w:rPr>
          <w:rFonts w:ascii="Calibri" w:hAnsi="Calibri" w:cs="Times New Roman"/>
          <w:noProof/>
          <w:szCs w:val="24"/>
        </w:rPr>
        <w:t>, 1–10.</w:t>
      </w:r>
    </w:p>
    <w:p w14:paraId="718576A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Gerstner K., Dormann C.F., Stein A., Manceur A.M. &amp; Seppelt R. (2014) Effects of land use on plant diversity - a global meta-analysis. </w:t>
      </w:r>
      <w:r w:rsidRPr="003B2691">
        <w:rPr>
          <w:rFonts w:ascii="Calibri" w:hAnsi="Calibri" w:cs="Times New Roman"/>
          <w:i/>
          <w:iCs/>
          <w:noProof/>
          <w:szCs w:val="24"/>
        </w:rPr>
        <w:t>Journal of Applied Ecology</w:t>
      </w:r>
      <w:r w:rsidRPr="003B2691">
        <w:rPr>
          <w:rFonts w:ascii="Calibri" w:hAnsi="Calibri" w:cs="Times New Roman"/>
          <w:noProof/>
          <w:szCs w:val="24"/>
        </w:rPr>
        <w:t xml:space="preserve"> </w:t>
      </w:r>
      <w:r w:rsidRPr="003B2691">
        <w:rPr>
          <w:rFonts w:ascii="Calibri" w:hAnsi="Calibri" w:cs="Times New Roman"/>
          <w:b/>
          <w:bCs/>
          <w:noProof/>
          <w:szCs w:val="24"/>
        </w:rPr>
        <w:t>51</w:t>
      </w:r>
      <w:r w:rsidRPr="003B2691">
        <w:rPr>
          <w:rFonts w:ascii="Calibri" w:hAnsi="Calibri" w:cs="Times New Roman"/>
          <w:noProof/>
          <w:szCs w:val="24"/>
        </w:rPr>
        <w:t>, 1690–1700.</w:t>
      </w:r>
    </w:p>
    <w:p w14:paraId="28266A8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Gleason S.M., Butler D.W., Ziemińska K., Waryszak P. &amp; Westoby M. (2012) Stem xylem conductivity is key to plant water balance across Australian angiosperm species. </w:t>
      </w:r>
      <w:r w:rsidRPr="003B2691">
        <w:rPr>
          <w:rFonts w:ascii="Calibri" w:hAnsi="Calibri" w:cs="Times New Roman"/>
          <w:i/>
          <w:iCs/>
          <w:noProof/>
          <w:szCs w:val="24"/>
        </w:rPr>
        <w:t>Functional Ecology</w:t>
      </w:r>
      <w:r w:rsidRPr="003B2691">
        <w:rPr>
          <w:rFonts w:ascii="Calibri" w:hAnsi="Calibri" w:cs="Times New Roman"/>
          <w:noProof/>
          <w:szCs w:val="24"/>
        </w:rPr>
        <w:t xml:space="preserve"> </w:t>
      </w:r>
      <w:r w:rsidRPr="003B2691">
        <w:rPr>
          <w:rFonts w:ascii="Calibri" w:hAnsi="Calibri" w:cs="Times New Roman"/>
          <w:b/>
          <w:bCs/>
          <w:noProof/>
          <w:szCs w:val="24"/>
        </w:rPr>
        <w:t>26</w:t>
      </w:r>
      <w:r w:rsidRPr="003B2691">
        <w:rPr>
          <w:rFonts w:ascii="Calibri" w:hAnsi="Calibri" w:cs="Times New Roman"/>
          <w:noProof/>
          <w:szCs w:val="24"/>
        </w:rPr>
        <w:t>, 343–352.</w:t>
      </w:r>
    </w:p>
    <w:p w14:paraId="64D22A0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Gotelli N.J. &amp; Rohde K. (2002) Co-occurence of ectoparasites of marine fished: a null model. </w:t>
      </w:r>
      <w:r w:rsidRPr="003B2691">
        <w:rPr>
          <w:rFonts w:ascii="Calibri" w:hAnsi="Calibri" w:cs="Times New Roman"/>
          <w:i/>
          <w:iCs/>
          <w:noProof/>
          <w:szCs w:val="24"/>
        </w:rPr>
        <w:t>Ecological Letters</w:t>
      </w:r>
      <w:r w:rsidRPr="003B2691">
        <w:rPr>
          <w:rFonts w:ascii="Calibri" w:hAnsi="Calibri" w:cs="Times New Roman"/>
          <w:noProof/>
          <w:szCs w:val="24"/>
        </w:rPr>
        <w:t xml:space="preserve"> </w:t>
      </w:r>
      <w:r w:rsidRPr="003B2691">
        <w:rPr>
          <w:rFonts w:ascii="Calibri" w:hAnsi="Calibri" w:cs="Times New Roman"/>
          <w:b/>
          <w:bCs/>
          <w:noProof/>
          <w:szCs w:val="24"/>
        </w:rPr>
        <w:t>5</w:t>
      </w:r>
      <w:r w:rsidRPr="003B2691">
        <w:rPr>
          <w:rFonts w:ascii="Calibri" w:hAnsi="Calibri" w:cs="Times New Roman"/>
          <w:noProof/>
          <w:szCs w:val="24"/>
        </w:rPr>
        <w:t>, 86–94.</w:t>
      </w:r>
    </w:p>
    <w:p w14:paraId="6DA3AFC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Gower J. (1971) A general coefficient of similarity and some of its properties. </w:t>
      </w:r>
      <w:r w:rsidRPr="003B2691">
        <w:rPr>
          <w:rFonts w:ascii="Calibri" w:hAnsi="Calibri" w:cs="Times New Roman"/>
          <w:i/>
          <w:iCs/>
          <w:noProof/>
          <w:szCs w:val="24"/>
        </w:rPr>
        <w:t>Biometrics</w:t>
      </w:r>
      <w:r w:rsidRPr="003B2691">
        <w:rPr>
          <w:rFonts w:ascii="Calibri" w:hAnsi="Calibri" w:cs="Times New Roman"/>
          <w:noProof/>
          <w:szCs w:val="24"/>
        </w:rPr>
        <w:t xml:space="preserve"> </w:t>
      </w:r>
      <w:r w:rsidRPr="003B2691">
        <w:rPr>
          <w:rFonts w:ascii="Calibri" w:hAnsi="Calibri" w:cs="Times New Roman"/>
          <w:b/>
          <w:bCs/>
          <w:noProof/>
          <w:szCs w:val="24"/>
        </w:rPr>
        <w:t>27</w:t>
      </w:r>
      <w:r w:rsidRPr="003B2691">
        <w:rPr>
          <w:rFonts w:ascii="Calibri" w:hAnsi="Calibri" w:cs="Times New Roman"/>
          <w:noProof/>
          <w:szCs w:val="24"/>
        </w:rPr>
        <w:t>, 857–</w:t>
      </w:r>
      <w:r w:rsidRPr="003B2691">
        <w:rPr>
          <w:rFonts w:ascii="Calibri" w:hAnsi="Calibri" w:cs="Times New Roman"/>
          <w:noProof/>
          <w:szCs w:val="24"/>
        </w:rPr>
        <w:lastRenderedPageBreak/>
        <w:t>871.</w:t>
      </w:r>
    </w:p>
    <w:p w14:paraId="3B9B3F9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Graf W. (2006) Downstream hydrologic and geomorphic effects of large dams on American rivers. </w:t>
      </w:r>
      <w:r w:rsidRPr="003B2691">
        <w:rPr>
          <w:rFonts w:ascii="Calibri" w:hAnsi="Calibri" w:cs="Times New Roman"/>
          <w:i/>
          <w:iCs/>
          <w:noProof/>
          <w:szCs w:val="24"/>
        </w:rPr>
        <w:t>Geomorphology</w:t>
      </w:r>
      <w:r w:rsidRPr="003B2691">
        <w:rPr>
          <w:rFonts w:ascii="Calibri" w:hAnsi="Calibri" w:cs="Times New Roman"/>
          <w:noProof/>
          <w:szCs w:val="24"/>
        </w:rPr>
        <w:t xml:space="preserve"> </w:t>
      </w:r>
      <w:r w:rsidRPr="003B2691">
        <w:rPr>
          <w:rFonts w:ascii="Calibri" w:hAnsi="Calibri" w:cs="Times New Roman"/>
          <w:b/>
          <w:bCs/>
          <w:noProof/>
          <w:szCs w:val="24"/>
        </w:rPr>
        <w:t>79</w:t>
      </w:r>
      <w:r w:rsidRPr="003B2691">
        <w:rPr>
          <w:rFonts w:ascii="Calibri" w:hAnsi="Calibri" w:cs="Times New Roman"/>
          <w:noProof/>
          <w:szCs w:val="24"/>
        </w:rPr>
        <w:t>, 336–360.</w:t>
      </w:r>
    </w:p>
    <w:p w14:paraId="4DE30C5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Hennessy K., Fawcett R., Kirono D., Mpelasoka M., Jones D., Bathols J., </w:t>
      </w:r>
      <w:r w:rsidRPr="003B2691">
        <w:rPr>
          <w:rFonts w:ascii="Calibri" w:hAnsi="Calibri" w:cs="Times New Roman"/>
          <w:i/>
          <w:iCs/>
          <w:noProof/>
          <w:szCs w:val="24"/>
        </w:rPr>
        <w:t>et al.</w:t>
      </w:r>
      <w:r w:rsidRPr="003B2691">
        <w:rPr>
          <w:rFonts w:ascii="Calibri" w:hAnsi="Calibri" w:cs="Times New Roman"/>
          <w:noProof/>
          <w:szCs w:val="24"/>
        </w:rPr>
        <w:t xml:space="preserve"> (2008) </w:t>
      </w:r>
      <w:r w:rsidRPr="003B2691">
        <w:rPr>
          <w:rFonts w:ascii="Calibri" w:hAnsi="Calibri" w:cs="Times New Roman"/>
          <w:i/>
          <w:iCs/>
          <w:noProof/>
          <w:szCs w:val="24"/>
        </w:rPr>
        <w:t>An assessment of the impact of climate change on the nature and frequency of exceptional climatic events. Australian Government, Bureau of Meterology</w:t>
      </w:r>
      <w:r w:rsidRPr="003B2691">
        <w:rPr>
          <w:rFonts w:ascii="Calibri" w:hAnsi="Calibri" w:cs="Times New Roman"/>
          <w:noProof/>
          <w:szCs w:val="24"/>
        </w:rPr>
        <w:t>. Department of Agriculture, Fisheries and Forestry, 2008., Canberra, Australia.</w:t>
      </w:r>
    </w:p>
    <w:p w14:paraId="1A5C93C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Hillebrand H. &amp; Matthiessen B. (2009) Biodiversity in a complex world: consolidation and progress in functional biodiversity research. </w:t>
      </w:r>
      <w:r w:rsidRPr="003B2691">
        <w:rPr>
          <w:rFonts w:ascii="Calibri" w:hAnsi="Calibri" w:cs="Times New Roman"/>
          <w:i/>
          <w:iCs/>
          <w:noProof/>
          <w:szCs w:val="24"/>
        </w:rPr>
        <w:t>Ecology Letters</w:t>
      </w:r>
      <w:r w:rsidRPr="003B2691">
        <w:rPr>
          <w:rFonts w:ascii="Calibri" w:hAnsi="Calibri" w:cs="Times New Roman"/>
          <w:noProof/>
          <w:szCs w:val="24"/>
        </w:rPr>
        <w:t xml:space="preserve"> </w:t>
      </w:r>
      <w:r w:rsidRPr="003B2691">
        <w:rPr>
          <w:rFonts w:ascii="Calibri" w:hAnsi="Calibri" w:cs="Times New Roman"/>
          <w:b/>
          <w:bCs/>
          <w:noProof/>
          <w:szCs w:val="24"/>
        </w:rPr>
        <w:t>12</w:t>
      </w:r>
      <w:r w:rsidRPr="003B2691">
        <w:rPr>
          <w:rFonts w:ascii="Calibri" w:hAnsi="Calibri" w:cs="Times New Roman"/>
          <w:noProof/>
          <w:szCs w:val="24"/>
        </w:rPr>
        <w:t>, 1405–1419.</w:t>
      </w:r>
    </w:p>
    <w:p w14:paraId="6C9E525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Hughes F.M.R. (1997) Floodplain biogeomorphology. </w:t>
      </w:r>
      <w:r w:rsidRPr="003B2691">
        <w:rPr>
          <w:rFonts w:ascii="Calibri" w:hAnsi="Calibri" w:cs="Times New Roman"/>
          <w:i/>
          <w:iCs/>
          <w:noProof/>
          <w:szCs w:val="24"/>
        </w:rPr>
        <w:t>Progress in Physical Geography</w:t>
      </w:r>
      <w:r w:rsidRPr="003B2691">
        <w:rPr>
          <w:rFonts w:ascii="Calibri" w:hAnsi="Calibri" w:cs="Times New Roman"/>
          <w:noProof/>
          <w:szCs w:val="24"/>
        </w:rPr>
        <w:t xml:space="preserve"> </w:t>
      </w:r>
      <w:r w:rsidRPr="003B2691">
        <w:rPr>
          <w:rFonts w:ascii="Calibri" w:hAnsi="Calibri" w:cs="Times New Roman"/>
          <w:b/>
          <w:bCs/>
          <w:noProof/>
          <w:szCs w:val="24"/>
        </w:rPr>
        <w:t>21</w:t>
      </w:r>
      <w:r w:rsidRPr="003B2691">
        <w:rPr>
          <w:rFonts w:ascii="Calibri" w:hAnsi="Calibri" w:cs="Times New Roman"/>
          <w:noProof/>
          <w:szCs w:val="24"/>
        </w:rPr>
        <w:t>, 501–529.</w:t>
      </w:r>
    </w:p>
    <w:p w14:paraId="10CAE3E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5294C87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Jardine T.D., Bond N.R., Burford M.A., Kennard M.J., Ward D.P., Bayliss P., </w:t>
      </w:r>
      <w:r w:rsidRPr="003B2691">
        <w:rPr>
          <w:rFonts w:ascii="Calibri" w:hAnsi="Calibri" w:cs="Times New Roman"/>
          <w:i/>
          <w:iCs/>
          <w:noProof/>
          <w:szCs w:val="24"/>
        </w:rPr>
        <w:t>et al.</w:t>
      </w:r>
      <w:r w:rsidRPr="003B2691">
        <w:rPr>
          <w:rFonts w:ascii="Calibri" w:hAnsi="Calibri" w:cs="Times New Roman"/>
          <w:noProof/>
          <w:szCs w:val="24"/>
        </w:rPr>
        <w:t xml:space="preserve"> (2015) Does flood rhythm drive ecosystem responses in tropical riverscapes ?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96</w:t>
      </w:r>
      <w:r w:rsidRPr="003B2691">
        <w:rPr>
          <w:rFonts w:ascii="Calibri" w:hAnsi="Calibri" w:cs="Times New Roman"/>
          <w:noProof/>
          <w:szCs w:val="24"/>
        </w:rPr>
        <w:t>, 684–692.</w:t>
      </w:r>
    </w:p>
    <w:p w14:paraId="30DA562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Kembel S.W., Cowan P.D., Helmus M.R., Cornwell W.K., Morlon H., Ackerly D.D., </w:t>
      </w:r>
      <w:r w:rsidRPr="003B2691">
        <w:rPr>
          <w:rFonts w:ascii="Calibri" w:hAnsi="Calibri" w:cs="Times New Roman"/>
          <w:i/>
          <w:iCs/>
          <w:noProof/>
          <w:szCs w:val="24"/>
        </w:rPr>
        <w:t>et al.</w:t>
      </w:r>
      <w:r w:rsidRPr="003B2691">
        <w:rPr>
          <w:rFonts w:ascii="Calibri" w:hAnsi="Calibri" w:cs="Times New Roman"/>
          <w:noProof/>
          <w:szCs w:val="24"/>
        </w:rPr>
        <w:t xml:space="preserve"> (2010) Picante: R tools for integrating phylogenies and ecology. </w:t>
      </w:r>
      <w:r w:rsidRPr="003B2691">
        <w:rPr>
          <w:rFonts w:ascii="Calibri" w:hAnsi="Calibri" w:cs="Times New Roman"/>
          <w:i/>
          <w:iCs/>
          <w:noProof/>
          <w:szCs w:val="24"/>
        </w:rPr>
        <w:t>Bioinformatics</w:t>
      </w:r>
      <w:r w:rsidRPr="003B2691">
        <w:rPr>
          <w:rFonts w:ascii="Calibri" w:hAnsi="Calibri" w:cs="Times New Roman"/>
          <w:noProof/>
          <w:szCs w:val="24"/>
        </w:rPr>
        <w:t xml:space="preserve"> </w:t>
      </w:r>
      <w:r w:rsidRPr="003B2691">
        <w:rPr>
          <w:rFonts w:ascii="Calibri" w:hAnsi="Calibri" w:cs="Times New Roman"/>
          <w:b/>
          <w:bCs/>
          <w:noProof/>
          <w:szCs w:val="24"/>
        </w:rPr>
        <w:t>26</w:t>
      </w:r>
      <w:r w:rsidRPr="003B2691">
        <w:rPr>
          <w:rFonts w:ascii="Calibri" w:hAnsi="Calibri" w:cs="Times New Roman"/>
          <w:noProof/>
          <w:szCs w:val="24"/>
        </w:rPr>
        <w:t>, 1463–1464.</w:t>
      </w:r>
    </w:p>
    <w:p w14:paraId="43277AA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Kennard M.J., Pusey B.J., Olden J.D., Mackay S.J., Stein J.L. &amp; Marsh N. (2010) Classification of natural flow regimes in Australia to support environmental flow management.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55</w:t>
      </w:r>
      <w:r w:rsidRPr="003B2691">
        <w:rPr>
          <w:rFonts w:ascii="Calibri" w:hAnsi="Calibri" w:cs="Times New Roman"/>
          <w:noProof/>
          <w:szCs w:val="24"/>
        </w:rPr>
        <w:t>, 171–193.</w:t>
      </w:r>
    </w:p>
    <w:p w14:paraId="5C99D8E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Kooyman R.M., Rossetto M., Sauquet H. &amp; Laffan S.W. (2013) Landscape patterns in rainforest phylogenetic signal: Isolated islands of refugia or structured continental distributions. </w:t>
      </w:r>
      <w:r w:rsidRPr="003B2691">
        <w:rPr>
          <w:rFonts w:ascii="Calibri" w:hAnsi="Calibri" w:cs="Times New Roman"/>
          <w:i/>
          <w:iCs/>
          <w:noProof/>
          <w:szCs w:val="24"/>
        </w:rPr>
        <w:t>PLoS ONE</w:t>
      </w:r>
      <w:r w:rsidRPr="003B2691">
        <w:rPr>
          <w:rFonts w:ascii="Calibri" w:hAnsi="Calibri" w:cs="Times New Roman"/>
          <w:noProof/>
          <w:szCs w:val="24"/>
        </w:rPr>
        <w:t xml:space="preserve"> </w:t>
      </w:r>
      <w:r w:rsidRPr="003B2691">
        <w:rPr>
          <w:rFonts w:ascii="Calibri" w:hAnsi="Calibri" w:cs="Times New Roman"/>
          <w:b/>
          <w:bCs/>
          <w:noProof/>
          <w:szCs w:val="24"/>
        </w:rPr>
        <w:t>8</w:t>
      </w:r>
      <w:r w:rsidRPr="003B2691">
        <w:rPr>
          <w:rFonts w:ascii="Calibri" w:hAnsi="Calibri" w:cs="Times New Roman"/>
          <w:noProof/>
          <w:szCs w:val="24"/>
        </w:rPr>
        <w:t>.</w:t>
      </w:r>
    </w:p>
    <w:p w14:paraId="1523B7A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Kraft N.J.B., Adler P.B., Godoy O., James E.C., Fuller S. &amp; Levine J.M. (2015) Community assembly, coexistence and the environmental filtering metaphor. </w:t>
      </w:r>
      <w:r w:rsidRPr="003B2691">
        <w:rPr>
          <w:rFonts w:ascii="Calibri" w:hAnsi="Calibri" w:cs="Times New Roman"/>
          <w:i/>
          <w:iCs/>
          <w:noProof/>
          <w:szCs w:val="24"/>
        </w:rPr>
        <w:t>Functional Ecology</w:t>
      </w:r>
      <w:r w:rsidRPr="003B2691">
        <w:rPr>
          <w:rFonts w:ascii="Calibri" w:hAnsi="Calibri" w:cs="Times New Roman"/>
          <w:noProof/>
          <w:szCs w:val="24"/>
        </w:rPr>
        <w:t xml:space="preserve"> </w:t>
      </w:r>
      <w:r w:rsidRPr="003B2691">
        <w:rPr>
          <w:rFonts w:ascii="Calibri" w:hAnsi="Calibri" w:cs="Times New Roman"/>
          <w:b/>
          <w:bCs/>
          <w:noProof/>
          <w:szCs w:val="24"/>
        </w:rPr>
        <w:t>29</w:t>
      </w:r>
      <w:r w:rsidRPr="003B2691">
        <w:rPr>
          <w:rFonts w:ascii="Calibri" w:hAnsi="Calibri" w:cs="Times New Roman"/>
          <w:noProof/>
          <w:szCs w:val="24"/>
        </w:rPr>
        <w:t>, 592–599.</w:t>
      </w:r>
    </w:p>
    <w:p w14:paraId="1649DE1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Laanisto L., Tamme R., Hiiesalu I., Szava-Kovats R., Gazol A. &amp; Pärtel M. (2013) Microfragmentation concept explains non-positive environmental heterogeneity-diversity relationships. </w:t>
      </w:r>
      <w:r w:rsidRPr="003B2691">
        <w:rPr>
          <w:rFonts w:ascii="Calibri" w:hAnsi="Calibri" w:cs="Times New Roman"/>
          <w:i/>
          <w:iCs/>
          <w:noProof/>
          <w:szCs w:val="24"/>
        </w:rPr>
        <w:t>Oecologia</w:t>
      </w:r>
      <w:r w:rsidRPr="003B2691">
        <w:rPr>
          <w:rFonts w:ascii="Calibri" w:hAnsi="Calibri" w:cs="Times New Roman"/>
          <w:noProof/>
          <w:szCs w:val="24"/>
        </w:rPr>
        <w:t xml:space="preserve"> </w:t>
      </w:r>
      <w:r w:rsidRPr="003B2691">
        <w:rPr>
          <w:rFonts w:ascii="Calibri" w:hAnsi="Calibri" w:cs="Times New Roman"/>
          <w:b/>
          <w:bCs/>
          <w:noProof/>
          <w:szCs w:val="24"/>
        </w:rPr>
        <w:t>171</w:t>
      </w:r>
      <w:r w:rsidRPr="003B2691">
        <w:rPr>
          <w:rFonts w:ascii="Calibri" w:hAnsi="Calibri" w:cs="Times New Roman"/>
          <w:noProof/>
          <w:szCs w:val="24"/>
        </w:rPr>
        <w:t>, 217–226.</w:t>
      </w:r>
    </w:p>
    <w:p w14:paraId="2ADA9A7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Laliberté E. &amp; Legendre P. (2010) A distance-based framework for measuring functional diversity </w:t>
      </w:r>
      <w:r w:rsidRPr="003B2691">
        <w:rPr>
          <w:rFonts w:ascii="Calibri" w:hAnsi="Calibri" w:cs="Times New Roman"/>
          <w:noProof/>
          <w:szCs w:val="24"/>
        </w:rPr>
        <w:lastRenderedPageBreak/>
        <w:t xml:space="preserve">from multiple traits.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91</w:t>
      </w:r>
      <w:r w:rsidRPr="003B2691">
        <w:rPr>
          <w:rFonts w:ascii="Calibri" w:hAnsi="Calibri" w:cs="Times New Roman"/>
          <w:noProof/>
          <w:szCs w:val="24"/>
        </w:rPr>
        <w:t>, 299–305.</w:t>
      </w:r>
    </w:p>
    <w:p w14:paraId="1F65575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Laliberté E., Wells J.A., Declerck F., Metcalfe D.J., Catterall C.P., Queiroz C., </w:t>
      </w:r>
      <w:r w:rsidRPr="003B2691">
        <w:rPr>
          <w:rFonts w:ascii="Calibri" w:hAnsi="Calibri" w:cs="Times New Roman"/>
          <w:i/>
          <w:iCs/>
          <w:noProof/>
          <w:szCs w:val="24"/>
        </w:rPr>
        <w:t>et al.</w:t>
      </w:r>
      <w:r w:rsidRPr="003B2691">
        <w:rPr>
          <w:rFonts w:ascii="Calibri" w:hAnsi="Calibri" w:cs="Times New Roman"/>
          <w:noProof/>
          <w:szCs w:val="24"/>
        </w:rPr>
        <w:t xml:space="preserve"> (2010) Land-use intensification reduces functional redundancy and response diversity in plant communities. </w:t>
      </w:r>
      <w:r w:rsidRPr="003B2691">
        <w:rPr>
          <w:rFonts w:ascii="Calibri" w:hAnsi="Calibri" w:cs="Times New Roman"/>
          <w:i/>
          <w:iCs/>
          <w:noProof/>
          <w:szCs w:val="24"/>
        </w:rPr>
        <w:t>Ecology Letters</w:t>
      </w:r>
      <w:r w:rsidRPr="003B2691">
        <w:rPr>
          <w:rFonts w:ascii="Calibri" w:hAnsi="Calibri" w:cs="Times New Roman"/>
          <w:noProof/>
          <w:szCs w:val="24"/>
        </w:rPr>
        <w:t xml:space="preserve"> </w:t>
      </w:r>
      <w:r w:rsidRPr="003B2691">
        <w:rPr>
          <w:rFonts w:ascii="Calibri" w:hAnsi="Calibri" w:cs="Times New Roman"/>
          <w:b/>
          <w:bCs/>
          <w:noProof/>
          <w:szCs w:val="24"/>
        </w:rPr>
        <w:t>13</w:t>
      </w:r>
      <w:r w:rsidRPr="003B2691">
        <w:rPr>
          <w:rFonts w:ascii="Calibri" w:hAnsi="Calibri" w:cs="Times New Roman"/>
          <w:noProof/>
          <w:szCs w:val="24"/>
        </w:rPr>
        <w:t>, 76–86.</w:t>
      </w:r>
    </w:p>
    <w:p w14:paraId="0DD5A69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Lawson J.R., Fryirs K. a., Lenz T. &amp; Leishman M.R. (2015) Heterogeneous flows foster heterogeneous assemblages: relationships between functional diversity and hydrological heterogeneity in riparian plant communities.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60</w:t>
      </w:r>
      <w:r w:rsidRPr="003B2691">
        <w:rPr>
          <w:rFonts w:ascii="Calibri" w:hAnsi="Calibri" w:cs="Times New Roman"/>
          <w:noProof/>
          <w:szCs w:val="24"/>
        </w:rPr>
        <w:t>, 2208–2225.</w:t>
      </w:r>
    </w:p>
    <w:p w14:paraId="5863ADF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Legendre P. (2007) Studying beta diversity: ecological variation partitioning by multiple regression and canonical analysis. </w:t>
      </w:r>
      <w:r w:rsidRPr="003B2691">
        <w:rPr>
          <w:rFonts w:ascii="Calibri" w:hAnsi="Calibri" w:cs="Times New Roman"/>
          <w:i/>
          <w:iCs/>
          <w:noProof/>
          <w:szCs w:val="24"/>
        </w:rPr>
        <w:t>Journal of Plant Ecology</w:t>
      </w:r>
      <w:r w:rsidRPr="003B2691">
        <w:rPr>
          <w:rFonts w:ascii="Calibri" w:hAnsi="Calibri" w:cs="Times New Roman"/>
          <w:noProof/>
          <w:szCs w:val="24"/>
        </w:rPr>
        <w:t xml:space="preserve"> </w:t>
      </w:r>
      <w:r w:rsidRPr="003B2691">
        <w:rPr>
          <w:rFonts w:ascii="Calibri" w:hAnsi="Calibri" w:cs="Times New Roman"/>
          <w:b/>
          <w:bCs/>
          <w:noProof/>
          <w:szCs w:val="24"/>
        </w:rPr>
        <w:t>1</w:t>
      </w:r>
      <w:r w:rsidRPr="003B2691">
        <w:rPr>
          <w:rFonts w:ascii="Calibri" w:hAnsi="Calibri" w:cs="Times New Roman"/>
          <w:noProof/>
          <w:szCs w:val="24"/>
        </w:rPr>
        <w:t>, 3–8.</w:t>
      </w:r>
    </w:p>
    <w:p w14:paraId="0316AE4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Leishman M., Wright I., Moles A. &amp; Westoby M. (2000) </w:t>
      </w:r>
      <w:r w:rsidRPr="003B2691">
        <w:rPr>
          <w:rFonts w:ascii="Calibri" w:hAnsi="Calibri" w:cs="Times New Roman"/>
          <w:i/>
          <w:iCs/>
          <w:noProof/>
          <w:szCs w:val="24"/>
        </w:rPr>
        <w:t>The evolutionary ecology of seed size</w:t>
      </w:r>
      <w:r w:rsidRPr="003B2691">
        <w:rPr>
          <w:rFonts w:ascii="Calibri" w:hAnsi="Calibri" w:cs="Times New Roman"/>
          <w:noProof/>
          <w:szCs w:val="24"/>
        </w:rPr>
        <w:t>, 2nd edn. (Ed. M. Fenner), CAB International, Wallingford.</w:t>
      </w:r>
    </w:p>
    <w:p w14:paraId="1828E52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Lite S.J., Bagstad K.J. &amp; Stromberg J.C. (2005) Riparian plant species richness along lateral and longitudinal gradients of water stress and flood disturbance, San Pedro River, Arizona, USA. </w:t>
      </w:r>
      <w:r w:rsidRPr="003B2691">
        <w:rPr>
          <w:rFonts w:ascii="Calibri" w:hAnsi="Calibri" w:cs="Times New Roman"/>
          <w:i/>
          <w:iCs/>
          <w:noProof/>
          <w:szCs w:val="24"/>
        </w:rPr>
        <w:t>Journal of Arid Environments</w:t>
      </w:r>
      <w:r w:rsidRPr="003B2691">
        <w:rPr>
          <w:rFonts w:ascii="Calibri" w:hAnsi="Calibri" w:cs="Times New Roman"/>
          <w:noProof/>
          <w:szCs w:val="24"/>
        </w:rPr>
        <w:t xml:space="preserve"> </w:t>
      </w:r>
      <w:r w:rsidRPr="003B2691">
        <w:rPr>
          <w:rFonts w:ascii="Calibri" w:hAnsi="Calibri" w:cs="Times New Roman"/>
          <w:b/>
          <w:bCs/>
          <w:noProof/>
          <w:szCs w:val="24"/>
        </w:rPr>
        <w:t>63</w:t>
      </w:r>
      <w:r w:rsidRPr="003B2691">
        <w:rPr>
          <w:rFonts w:ascii="Calibri" w:hAnsi="Calibri" w:cs="Times New Roman"/>
          <w:noProof/>
          <w:szCs w:val="24"/>
        </w:rPr>
        <w:t>, 785–813.</w:t>
      </w:r>
    </w:p>
    <w:p w14:paraId="73EC2A0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Lloyd N., Quinn G., Thoms M., Arthington P.A., Humphries P. &amp; Walker K. (2004) Does flow modification cause geomorphological and ecological response in rivers? a literature review from an Australian perspective. </w:t>
      </w:r>
      <w:r w:rsidRPr="003B2691">
        <w:rPr>
          <w:rFonts w:ascii="Calibri" w:hAnsi="Calibri" w:cs="Times New Roman"/>
          <w:i/>
          <w:iCs/>
          <w:noProof/>
          <w:szCs w:val="24"/>
        </w:rPr>
        <w:t>A literature review from an Australian perspective. CRC for Freshwater Ecology</w:t>
      </w:r>
      <w:r w:rsidRPr="003B2691">
        <w:rPr>
          <w:rFonts w:ascii="Calibri" w:hAnsi="Calibri" w:cs="Times New Roman"/>
          <w:noProof/>
          <w:szCs w:val="24"/>
        </w:rPr>
        <w:t xml:space="preserve"> </w:t>
      </w:r>
      <w:r w:rsidRPr="003B2691">
        <w:rPr>
          <w:rFonts w:ascii="Calibri" w:hAnsi="Calibri" w:cs="Times New Roman"/>
          <w:b/>
          <w:bCs/>
          <w:noProof/>
          <w:szCs w:val="24"/>
        </w:rPr>
        <w:t>57</w:t>
      </w:r>
      <w:r w:rsidRPr="003B2691">
        <w:rPr>
          <w:rFonts w:ascii="Calibri" w:hAnsi="Calibri" w:cs="Times New Roman"/>
          <w:noProof/>
          <w:szCs w:val="24"/>
        </w:rPr>
        <w:t>.</w:t>
      </w:r>
    </w:p>
    <w:p w14:paraId="4615B1C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Lundholm J.T. (2009) Plant species diversity and environmental heterogeneity: spatial scale and competing hypotheses. </w:t>
      </w:r>
      <w:r w:rsidRPr="003B2691">
        <w:rPr>
          <w:rFonts w:ascii="Calibri" w:hAnsi="Calibri" w:cs="Times New Roman"/>
          <w:i/>
          <w:iCs/>
          <w:noProof/>
          <w:szCs w:val="24"/>
        </w:rPr>
        <w:t>Journal of Vegetation Science</w:t>
      </w:r>
      <w:r w:rsidRPr="003B2691">
        <w:rPr>
          <w:rFonts w:ascii="Calibri" w:hAnsi="Calibri" w:cs="Times New Roman"/>
          <w:noProof/>
          <w:szCs w:val="24"/>
        </w:rPr>
        <w:t xml:space="preserve"> </w:t>
      </w:r>
      <w:r w:rsidRPr="003B2691">
        <w:rPr>
          <w:rFonts w:ascii="Calibri" w:hAnsi="Calibri" w:cs="Times New Roman"/>
          <w:b/>
          <w:bCs/>
          <w:noProof/>
          <w:szCs w:val="24"/>
        </w:rPr>
        <w:t>20</w:t>
      </w:r>
      <w:r w:rsidRPr="003B2691">
        <w:rPr>
          <w:rFonts w:ascii="Calibri" w:hAnsi="Calibri" w:cs="Times New Roman"/>
          <w:noProof/>
          <w:szCs w:val="24"/>
        </w:rPr>
        <w:t>, 377–391.</w:t>
      </w:r>
    </w:p>
    <w:p w14:paraId="4952DC2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Mackay S.J., Arthington A.H. &amp; James C.S. (2014) Classification and comparison of natural and altered flow regimes to support an Australian trial of the Ecological Limits of Hydrologic Alteration framework. </w:t>
      </w:r>
      <w:r w:rsidRPr="003B2691">
        <w:rPr>
          <w:rFonts w:ascii="Calibri" w:hAnsi="Calibri" w:cs="Times New Roman"/>
          <w:i/>
          <w:iCs/>
          <w:noProof/>
          <w:szCs w:val="24"/>
        </w:rPr>
        <w:t>Ecohydrology</w:t>
      </w:r>
      <w:r w:rsidRPr="003B2691">
        <w:rPr>
          <w:rFonts w:ascii="Calibri" w:hAnsi="Calibri" w:cs="Times New Roman"/>
          <w:noProof/>
          <w:szCs w:val="24"/>
        </w:rPr>
        <w:t xml:space="preserve"> </w:t>
      </w:r>
      <w:r w:rsidRPr="003B2691">
        <w:rPr>
          <w:rFonts w:ascii="Calibri" w:hAnsi="Calibri" w:cs="Times New Roman"/>
          <w:b/>
          <w:bCs/>
          <w:noProof/>
          <w:szCs w:val="24"/>
        </w:rPr>
        <w:t>1507</w:t>
      </w:r>
      <w:r w:rsidRPr="003B2691">
        <w:rPr>
          <w:rFonts w:ascii="Calibri" w:hAnsi="Calibri" w:cs="Times New Roman"/>
          <w:noProof/>
          <w:szCs w:val="24"/>
        </w:rPr>
        <w:t>, 1485–1507.</w:t>
      </w:r>
    </w:p>
    <w:p w14:paraId="0AD5172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Mackensen J., Bauhus J. &amp; Webber E. (2003) Decomposition rates of coarse woody debris: a review with particular emphasis on Australian tree species. </w:t>
      </w:r>
      <w:r w:rsidRPr="003B2691">
        <w:rPr>
          <w:rFonts w:ascii="Calibri" w:hAnsi="Calibri" w:cs="Times New Roman"/>
          <w:i/>
          <w:iCs/>
          <w:noProof/>
          <w:szCs w:val="24"/>
        </w:rPr>
        <w:t>Australian Journal of Botany</w:t>
      </w:r>
      <w:r w:rsidRPr="003B2691">
        <w:rPr>
          <w:rFonts w:ascii="Calibri" w:hAnsi="Calibri" w:cs="Times New Roman"/>
          <w:noProof/>
          <w:szCs w:val="24"/>
        </w:rPr>
        <w:t xml:space="preserve"> </w:t>
      </w:r>
      <w:r w:rsidRPr="003B2691">
        <w:rPr>
          <w:rFonts w:ascii="Calibri" w:hAnsi="Calibri" w:cs="Times New Roman"/>
          <w:b/>
          <w:bCs/>
          <w:noProof/>
          <w:szCs w:val="24"/>
        </w:rPr>
        <w:t>51</w:t>
      </w:r>
      <w:r w:rsidRPr="003B2691">
        <w:rPr>
          <w:rFonts w:ascii="Calibri" w:hAnsi="Calibri" w:cs="Times New Roman"/>
          <w:noProof/>
          <w:szCs w:val="24"/>
        </w:rPr>
        <w:t>, 27–37.</w:t>
      </w:r>
    </w:p>
    <w:p w14:paraId="2BE6934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Marsh N.A., Stewardson M.J. &amp; Kennard M.J. (2003) River Analysis Package. Cooperative Research Centre for Catchment Hydrology, Monash University Melbourne. </w:t>
      </w:r>
      <w:r w:rsidRPr="003B2691">
        <w:rPr>
          <w:rFonts w:ascii="Calibri" w:hAnsi="Calibri" w:cs="Times New Roman"/>
          <w:i/>
          <w:iCs/>
          <w:noProof/>
          <w:szCs w:val="24"/>
        </w:rPr>
        <w:t>Software Version</w:t>
      </w:r>
      <w:r w:rsidRPr="003B2691">
        <w:rPr>
          <w:rFonts w:ascii="Calibri" w:hAnsi="Calibri" w:cs="Times New Roman"/>
          <w:noProof/>
          <w:szCs w:val="24"/>
        </w:rPr>
        <w:t xml:space="preserve"> </w:t>
      </w:r>
      <w:r w:rsidRPr="003B2691">
        <w:rPr>
          <w:rFonts w:ascii="Calibri" w:hAnsi="Calibri" w:cs="Times New Roman"/>
          <w:b/>
          <w:bCs/>
          <w:noProof/>
          <w:szCs w:val="24"/>
        </w:rPr>
        <w:t>1</w:t>
      </w:r>
      <w:r w:rsidRPr="003B2691">
        <w:rPr>
          <w:rFonts w:ascii="Calibri" w:hAnsi="Calibri" w:cs="Times New Roman"/>
          <w:noProof/>
          <w:szCs w:val="24"/>
        </w:rPr>
        <w:t>.</w:t>
      </w:r>
    </w:p>
    <w:p w14:paraId="47ACEFA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Mason N.W.H., de Bello F., Mouillot D., Pavoine S. &amp; Dray S. (2013) A guide for using functional diversity indices to reveal changes in assembly processes along ecological gradients. </w:t>
      </w:r>
      <w:r w:rsidRPr="003B2691">
        <w:rPr>
          <w:rFonts w:ascii="Calibri" w:hAnsi="Calibri" w:cs="Times New Roman"/>
          <w:i/>
          <w:iCs/>
          <w:noProof/>
          <w:szCs w:val="24"/>
        </w:rPr>
        <w:t>Journal of Vegetation Science</w:t>
      </w:r>
      <w:r w:rsidRPr="003B2691">
        <w:rPr>
          <w:rFonts w:ascii="Calibri" w:hAnsi="Calibri" w:cs="Times New Roman"/>
          <w:noProof/>
          <w:szCs w:val="24"/>
        </w:rPr>
        <w:t xml:space="preserve"> </w:t>
      </w:r>
      <w:r w:rsidRPr="003B2691">
        <w:rPr>
          <w:rFonts w:ascii="Calibri" w:hAnsi="Calibri" w:cs="Times New Roman"/>
          <w:b/>
          <w:bCs/>
          <w:noProof/>
          <w:szCs w:val="24"/>
        </w:rPr>
        <w:t>24</w:t>
      </w:r>
      <w:r w:rsidRPr="003B2691">
        <w:rPr>
          <w:rFonts w:ascii="Calibri" w:hAnsi="Calibri" w:cs="Times New Roman"/>
          <w:noProof/>
          <w:szCs w:val="24"/>
        </w:rPr>
        <w:t>, 794–806.</w:t>
      </w:r>
    </w:p>
    <w:p w14:paraId="5072798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lastRenderedPageBreak/>
        <w:t xml:space="preserve">Mason N.W.H., Richardson S.J., Peltzer D. a., de Bello F., Wardle D. a. &amp; Allen R.B. (2012) Changes in coexistence mechanisms along a long-term soil chronosequence revealed by functional trait diversity. </w:t>
      </w:r>
      <w:r w:rsidRPr="003B2691">
        <w:rPr>
          <w:rFonts w:ascii="Calibri" w:hAnsi="Calibri" w:cs="Times New Roman"/>
          <w:i/>
          <w:iCs/>
          <w:noProof/>
          <w:szCs w:val="24"/>
        </w:rPr>
        <w:t>Journal of Ecology</w:t>
      </w:r>
      <w:r w:rsidRPr="003B2691">
        <w:rPr>
          <w:rFonts w:ascii="Calibri" w:hAnsi="Calibri" w:cs="Times New Roman"/>
          <w:noProof/>
          <w:szCs w:val="24"/>
        </w:rPr>
        <w:t xml:space="preserve"> </w:t>
      </w:r>
      <w:r w:rsidRPr="003B2691">
        <w:rPr>
          <w:rFonts w:ascii="Calibri" w:hAnsi="Calibri" w:cs="Times New Roman"/>
          <w:b/>
          <w:bCs/>
          <w:noProof/>
          <w:szCs w:val="24"/>
        </w:rPr>
        <w:t>100</w:t>
      </w:r>
      <w:r w:rsidRPr="003B2691">
        <w:rPr>
          <w:rFonts w:ascii="Calibri" w:hAnsi="Calibri" w:cs="Times New Roman"/>
          <w:noProof/>
          <w:szCs w:val="24"/>
        </w:rPr>
        <w:t>, 678–689.</w:t>
      </w:r>
    </w:p>
    <w:p w14:paraId="52AC77F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Merritt D.M. &amp; Poff N.L. (2010) Shifting dominance of riparian Populus and Tamarix along gradients of flow alteration in western North American rivers. </w:t>
      </w:r>
      <w:r w:rsidRPr="003B2691">
        <w:rPr>
          <w:rFonts w:ascii="Calibri" w:hAnsi="Calibri" w:cs="Times New Roman"/>
          <w:i/>
          <w:iCs/>
          <w:noProof/>
          <w:szCs w:val="24"/>
        </w:rPr>
        <w:t>Ecological Applications</w:t>
      </w:r>
      <w:r w:rsidRPr="003B2691">
        <w:rPr>
          <w:rFonts w:ascii="Calibri" w:hAnsi="Calibri" w:cs="Times New Roman"/>
          <w:noProof/>
          <w:szCs w:val="24"/>
        </w:rPr>
        <w:t xml:space="preserve"> </w:t>
      </w:r>
      <w:r w:rsidRPr="003B2691">
        <w:rPr>
          <w:rFonts w:ascii="Calibri" w:hAnsi="Calibri" w:cs="Times New Roman"/>
          <w:b/>
          <w:bCs/>
          <w:noProof/>
          <w:szCs w:val="24"/>
        </w:rPr>
        <w:t>20</w:t>
      </w:r>
      <w:r w:rsidRPr="003B2691">
        <w:rPr>
          <w:rFonts w:ascii="Calibri" w:hAnsi="Calibri" w:cs="Times New Roman"/>
          <w:noProof/>
          <w:szCs w:val="24"/>
        </w:rPr>
        <w:t>, 135–152.</w:t>
      </w:r>
    </w:p>
    <w:p w14:paraId="3D84509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Miklós I. &amp; Podani J. (2004) Randomization of presence-absence matrices: Comments and new algorithms.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85</w:t>
      </w:r>
      <w:r w:rsidRPr="003B2691">
        <w:rPr>
          <w:rFonts w:ascii="Calibri" w:hAnsi="Calibri" w:cs="Times New Roman"/>
          <w:noProof/>
          <w:szCs w:val="24"/>
        </w:rPr>
        <w:t>, 86–92.</w:t>
      </w:r>
    </w:p>
    <w:p w14:paraId="1813D03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Mouchet M. a., Villéger S., Mason N.W.H. &amp; Mouillot D. (2010) Functional diversity measures: an overview of their redundancy and their ability to discriminate community assembly rules. </w:t>
      </w:r>
      <w:r w:rsidRPr="003B2691">
        <w:rPr>
          <w:rFonts w:ascii="Calibri" w:hAnsi="Calibri" w:cs="Times New Roman"/>
          <w:i/>
          <w:iCs/>
          <w:noProof/>
          <w:szCs w:val="24"/>
        </w:rPr>
        <w:t>Functional Ecology</w:t>
      </w:r>
      <w:r w:rsidRPr="003B2691">
        <w:rPr>
          <w:rFonts w:ascii="Calibri" w:hAnsi="Calibri" w:cs="Times New Roman"/>
          <w:noProof/>
          <w:szCs w:val="24"/>
        </w:rPr>
        <w:t xml:space="preserve"> </w:t>
      </w:r>
      <w:r w:rsidRPr="003B2691">
        <w:rPr>
          <w:rFonts w:ascii="Calibri" w:hAnsi="Calibri" w:cs="Times New Roman"/>
          <w:b/>
          <w:bCs/>
          <w:noProof/>
          <w:szCs w:val="24"/>
        </w:rPr>
        <w:t>24</w:t>
      </w:r>
      <w:r w:rsidRPr="003B2691">
        <w:rPr>
          <w:rFonts w:ascii="Calibri" w:hAnsi="Calibri" w:cs="Times New Roman"/>
          <w:noProof/>
          <w:szCs w:val="24"/>
        </w:rPr>
        <w:t>, 867–876.</w:t>
      </w:r>
    </w:p>
    <w:p w14:paraId="4B27023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Mouillot D., Villéger S., Scherer-Lorenzen M. &amp; Mason N.W.H. (2011) Functional structure of biological communities predicts ecosystem multifunctionality. </w:t>
      </w:r>
      <w:r w:rsidRPr="003B2691">
        <w:rPr>
          <w:rFonts w:ascii="Calibri" w:hAnsi="Calibri" w:cs="Times New Roman"/>
          <w:i/>
          <w:iCs/>
          <w:noProof/>
          <w:szCs w:val="24"/>
        </w:rPr>
        <w:t>PLoS ONE</w:t>
      </w:r>
      <w:r w:rsidRPr="003B2691">
        <w:rPr>
          <w:rFonts w:ascii="Calibri" w:hAnsi="Calibri" w:cs="Times New Roman"/>
          <w:noProof/>
          <w:szCs w:val="24"/>
        </w:rPr>
        <w:t xml:space="preserve"> </w:t>
      </w:r>
      <w:r w:rsidRPr="003B2691">
        <w:rPr>
          <w:rFonts w:ascii="Calibri" w:hAnsi="Calibri" w:cs="Times New Roman"/>
          <w:b/>
          <w:bCs/>
          <w:noProof/>
          <w:szCs w:val="24"/>
        </w:rPr>
        <w:t>6</w:t>
      </w:r>
      <w:r w:rsidRPr="003B2691">
        <w:rPr>
          <w:rFonts w:ascii="Calibri" w:hAnsi="Calibri" w:cs="Times New Roman"/>
          <w:noProof/>
          <w:szCs w:val="24"/>
        </w:rPr>
        <w:t>.</w:t>
      </w:r>
    </w:p>
    <w:p w14:paraId="328D52C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Naiman R., Decamps H. &amp; Pollock M. (1993) The role of riparian corridors in maintaining regional biodiversity. </w:t>
      </w:r>
      <w:r w:rsidRPr="003B2691">
        <w:rPr>
          <w:rFonts w:ascii="Calibri" w:hAnsi="Calibri" w:cs="Times New Roman"/>
          <w:i/>
          <w:iCs/>
          <w:noProof/>
          <w:szCs w:val="24"/>
        </w:rPr>
        <w:t>Ecological Applications</w:t>
      </w:r>
      <w:r w:rsidRPr="003B2691">
        <w:rPr>
          <w:rFonts w:ascii="Calibri" w:hAnsi="Calibri" w:cs="Times New Roman"/>
          <w:noProof/>
          <w:szCs w:val="24"/>
        </w:rPr>
        <w:t xml:space="preserve"> </w:t>
      </w:r>
      <w:r w:rsidRPr="003B2691">
        <w:rPr>
          <w:rFonts w:ascii="Calibri" w:hAnsi="Calibri" w:cs="Times New Roman"/>
          <w:b/>
          <w:bCs/>
          <w:noProof/>
          <w:szCs w:val="24"/>
        </w:rPr>
        <w:t>3</w:t>
      </w:r>
      <w:r w:rsidRPr="003B2691">
        <w:rPr>
          <w:rFonts w:ascii="Calibri" w:hAnsi="Calibri" w:cs="Times New Roman"/>
          <w:noProof/>
          <w:szCs w:val="24"/>
        </w:rPr>
        <w:t>, 209–212.</w:t>
      </w:r>
    </w:p>
    <w:p w14:paraId="72AD386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Naiman R.J., Bechtold J.S., Drake D., J.J.Latterell, O’Keefe T.C. &amp; Balian E. a. (2005) Origins, patterns, and importance of heterogeneity in riparian systems. </w:t>
      </w:r>
      <w:r w:rsidRPr="003B2691">
        <w:rPr>
          <w:rFonts w:ascii="Calibri" w:hAnsi="Calibri" w:cs="Times New Roman"/>
          <w:i/>
          <w:iCs/>
          <w:noProof/>
          <w:szCs w:val="24"/>
        </w:rPr>
        <w:t>Ecosystem Function in Heterogeneous Landscapes</w:t>
      </w:r>
      <w:r w:rsidRPr="003B2691">
        <w:rPr>
          <w:rFonts w:ascii="Calibri" w:hAnsi="Calibri" w:cs="Times New Roman"/>
          <w:noProof/>
          <w:szCs w:val="24"/>
        </w:rPr>
        <w:t>, 279–309.</w:t>
      </w:r>
    </w:p>
    <w:p w14:paraId="7A59329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Nilsson C. &amp; Berggren K. (2000) Alterations of Riparian Ecosystems Caused by River Regulation. </w:t>
      </w:r>
      <w:r w:rsidRPr="003B2691">
        <w:rPr>
          <w:rFonts w:ascii="Calibri" w:hAnsi="Calibri" w:cs="Times New Roman"/>
          <w:i/>
          <w:iCs/>
          <w:noProof/>
          <w:szCs w:val="24"/>
        </w:rPr>
        <w:t>BioScience</w:t>
      </w:r>
      <w:r w:rsidRPr="003B2691">
        <w:rPr>
          <w:rFonts w:ascii="Calibri" w:hAnsi="Calibri" w:cs="Times New Roman"/>
          <w:noProof/>
          <w:szCs w:val="24"/>
        </w:rPr>
        <w:t xml:space="preserve"> </w:t>
      </w:r>
      <w:r w:rsidRPr="003B2691">
        <w:rPr>
          <w:rFonts w:ascii="Calibri" w:hAnsi="Calibri" w:cs="Times New Roman"/>
          <w:b/>
          <w:bCs/>
          <w:noProof/>
          <w:szCs w:val="24"/>
        </w:rPr>
        <w:t>50</w:t>
      </w:r>
      <w:r w:rsidRPr="003B2691">
        <w:rPr>
          <w:rFonts w:ascii="Calibri" w:hAnsi="Calibri" w:cs="Times New Roman"/>
          <w:noProof/>
          <w:szCs w:val="24"/>
        </w:rPr>
        <w:t>, 783–792.</w:t>
      </w:r>
    </w:p>
    <w:p w14:paraId="4AF691D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Nilsson C., Reidy C. a, Dynesius M. &amp; Revenga C. (2005) Fragmentation and flow regulation of the world’s large river systems. </w:t>
      </w:r>
      <w:r w:rsidRPr="003B2691">
        <w:rPr>
          <w:rFonts w:ascii="Calibri" w:hAnsi="Calibri" w:cs="Times New Roman"/>
          <w:i/>
          <w:iCs/>
          <w:noProof/>
          <w:szCs w:val="24"/>
        </w:rPr>
        <w:t>Science (New York, N.Y.)</w:t>
      </w:r>
      <w:r w:rsidRPr="003B2691">
        <w:rPr>
          <w:rFonts w:ascii="Calibri" w:hAnsi="Calibri" w:cs="Times New Roman"/>
          <w:noProof/>
          <w:szCs w:val="24"/>
        </w:rPr>
        <w:t xml:space="preserve"> </w:t>
      </w:r>
      <w:r w:rsidRPr="003B2691">
        <w:rPr>
          <w:rFonts w:ascii="Calibri" w:hAnsi="Calibri" w:cs="Times New Roman"/>
          <w:b/>
          <w:bCs/>
          <w:noProof/>
          <w:szCs w:val="24"/>
        </w:rPr>
        <w:t>308</w:t>
      </w:r>
      <w:r w:rsidRPr="003B2691">
        <w:rPr>
          <w:rFonts w:ascii="Calibri" w:hAnsi="Calibri" w:cs="Times New Roman"/>
          <w:noProof/>
          <w:szCs w:val="24"/>
        </w:rPr>
        <w:t>, 405–408.</w:t>
      </w:r>
    </w:p>
    <w:p w14:paraId="7044B30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Nilsson C. &amp; Svedmark M. (2002) Basic principles and ecological consequences of changing water regimes: riparian plant communities. </w:t>
      </w:r>
      <w:r w:rsidRPr="003B2691">
        <w:rPr>
          <w:rFonts w:ascii="Calibri" w:hAnsi="Calibri" w:cs="Times New Roman"/>
          <w:i/>
          <w:iCs/>
          <w:noProof/>
          <w:szCs w:val="24"/>
        </w:rPr>
        <w:t>Environmental Management</w:t>
      </w:r>
      <w:r w:rsidRPr="003B2691">
        <w:rPr>
          <w:rFonts w:ascii="Calibri" w:hAnsi="Calibri" w:cs="Times New Roman"/>
          <w:noProof/>
          <w:szCs w:val="24"/>
        </w:rPr>
        <w:t xml:space="preserve"> </w:t>
      </w:r>
      <w:r w:rsidRPr="003B2691">
        <w:rPr>
          <w:rFonts w:ascii="Calibri" w:hAnsi="Calibri" w:cs="Times New Roman"/>
          <w:b/>
          <w:bCs/>
          <w:noProof/>
          <w:szCs w:val="24"/>
        </w:rPr>
        <w:t>30</w:t>
      </w:r>
      <w:r w:rsidRPr="003B2691">
        <w:rPr>
          <w:rFonts w:ascii="Calibri" w:hAnsi="Calibri" w:cs="Times New Roman"/>
          <w:noProof/>
          <w:szCs w:val="24"/>
        </w:rPr>
        <w:t>, 468–480.</w:t>
      </w:r>
    </w:p>
    <w:p w14:paraId="1693EA0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Oksanen J., Blanchet F.G., Kindt R., Legendre P., Minchin P.R., O’Hara R.B., </w:t>
      </w:r>
      <w:r w:rsidRPr="003B2691">
        <w:rPr>
          <w:rFonts w:ascii="Calibri" w:hAnsi="Calibri" w:cs="Times New Roman"/>
          <w:i/>
          <w:iCs/>
          <w:noProof/>
          <w:szCs w:val="24"/>
        </w:rPr>
        <w:t>et al.</w:t>
      </w:r>
      <w:r w:rsidRPr="003B2691">
        <w:rPr>
          <w:rFonts w:ascii="Calibri" w:hAnsi="Calibri" w:cs="Times New Roman"/>
          <w:noProof/>
          <w:szCs w:val="24"/>
        </w:rPr>
        <w:t xml:space="preserve"> (2013) vegan: Community Ecology Package.</w:t>
      </w:r>
    </w:p>
    <w:p w14:paraId="4386FA0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Palmer M. a, Lettenmaier D.P., Poff N.L., Postel S.L., Richter B. &amp; Warner R. (2009) Climate change and river ecosystems: protection and adaptation options. </w:t>
      </w:r>
      <w:r w:rsidRPr="003B2691">
        <w:rPr>
          <w:rFonts w:ascii="Calibri" w:hAnsi="Calibri" w:cs="Times New Roman"/>
          <w:i/>
          <w:iCs/>
          <w:noProof/>
          <w:szCs w:val="24"/>
        </w:rPr>
        <w:t>Environmental management</w:t>
      </w:r>
      <w:r w:rsidRPr="003B2691">
        <w:rPr>
          <w:rFonts w:ascii="Calibri" w:hAnsi="Calibri" w:cs="Times New Roman"/>
          <w:noProof/>
          <w:szCs w:val="24"/>
        </w:rPr>
        <w:t xml:space="preserve"> </w:t>
      </w:r>
      <w:r w:rsidRPr="003B2691">
        <w:rPr>
          <w:rFonts w:ascii="Calibri" w:hAnsi="Calibri" w:cs="Times New Roman"/>
          <w:b/>
          <w:bCs/>
          <w:noProof/>
          <w:szCs w:val="24"/>
        </w:rPr>
        <w:t>44</w:t>
      </w:r>
      <w:r w:rsidRPr="003B2691">
        <w:rPr>
          <w:rFonts w:ascii="Calibri" w:hAnsi="Calibri" w:cs="Times New Roman"/>
          <w:noProof/>
          <w:szCs w:val="24"/>
        </w:rPr>
        <w:t>, 1053–68.</w:t>
      </w:r>
    </w:p>
    <w:p w14:paraId="2C3270F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Parsons M., McLoughlin C.A., Kotschy K.A., Rogers K.H. &amp; Rountree M.W. (2005) The effects of extreme floods on the biophysical heterogeneity of river landscapes. </w:t>
      </w:r>
      <w:r w:rsidRPr="003B2691">
        <w:rPr>
          <w:rFonts w:ascii="Calibri" w:hAnsi="Calibri" w:cs="Times New Roman"/>
          <w:i/>
          <w:iCs/>
          <w:noProof/>
          <w:szCs w:val="24"/>
        </w:rPr>
        <w:t xml:space="preserve">Frontiers in Ecology and </w:t>
      </w:r>
      <w:r w:rsidRPr="003B2691">
        <w:rPr>
          <w:rFonts w:ascii="Calibri" w:hAnsi="Calibri" w:cs="Times New Roman"/>
          <w:i/>
          <w:iCs/>
          <w:noProof/>
          <w:szCs w:val="24"/>
        </w:rPr>
        <w:lastRenderedPageBreak/>
        <w:t>the Environment</w:t>
      </w:r>
      <w:r w:rsidRPr="003B2691">
        <w:rPr>
          <w:rFonts w:ascii="Calibri" w:hAnsi="Calibri" w:cs="Times New Roman"/>
          <w:noProof/>
          <w:szCs w:val="24"/>
        </w:rPr>
        <w:t xml:space="preserve"> </w:t>
      </w:r>
      <w:r w:rsidRPr="003B2691">
        <w:rPr>
          <w:rFonts w:ascii="Calibri" w:hAnsi="Calibri" w:cs="Times New Roman"/>
          <w:b/>
          <w:bCs/>
          <w:noProof/>
          <w:szCs w:val="24"/>
        </w:rPr>
        <w:t>3</w:t>
      </w:r>
      <w:r w:rsidRPr="003B2691">
        <w:rPr>
          <w:rFonts w:ascii="Calibri" w:hAnsi="Calibri" w:cs="Times New Roman"/>
          <w:noProof/>
          <w:szCs w:val="24"/>
        </w:rPr>
        <w:t>, 487–494.</w:t>
      </w:r>
    </w:p>
    <w:p w14:paraId="2624F48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Pavoine S. &amp; Bonsall M.B. (2011) Measuring biodiversity to explain community assembly: a unified approach. </w:t>
      </w:r>
      <w:r w:rsidRPr="003B2691">
        <w:rPr>
          <w:rFonts w:ascii="Calibri" w:hAnsi="Calibri" w:cs="Times New Roman"/>
          <w:i/>
          <w:iCs/>
          <w:noProof/>
          <w:szCs w:val="24"/>
        </w:rPr>
        <w:t>Biological Reviews</w:t>
      </w:r>
      <w:r w:rsidRPr="003B2691">
        <w:rPr>
          <w:rFonts w:ascii="Calibri" w:hAnsi="Calibri" w:cs="Times New Roman"/>
          <w:noProof/>
          <w:szCs w:val="24"/>
        </w:rPr>
        <w:t xml:space="preserve"> </w:t>
      </w:r>
      <w:r w:rsidRPr="003B2691">
        <w:rPr>
          <w:rFonts w:ascii="Calibri" w:hAnsi="Calibri" w:cs="Times New Roman"/>
          <w:b/>
          <w:bCs/>
          <w:noProof/>
          <w:szCs w:val="24"/>
        </w:rPr>
        <w:t>86</w:t>
      </w:r>
      <w:r w:rsidRPr="003B2691">
        <w:rPr>
          <w:rFonts w:ascii="Calibri" w:hAnsi="Calibri" w:cs="Times New Roman"/>
          <w:noProof/>
          <w:szCs w:val="24"/>
        </w:rPr>
        <w:t>, 792–812.</w:t>
      </w:r>
    </w:p>
    <w:p w14:paraId="72C57A0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Penone C., Davidson A.D., Shoemaker K.T., Di Marco M., Rondinini C., Brooks T.M., </w:t>
      </w:r>
      <w:r w:rsidRPr="003B2691">
        <w:rPr>
          <w:rFonts w:ascii="Calibri" w:hAnsi="Calibri" w:cs="Times New Roman"/>
          <w:i/>
          <w:iCs/>
          <w:noProof/>
          <w:szCs w:val="24"/>
        </w:rPr>
        <w:t>et al.</w:t>
      </w:r>
      <w:r w:rsidRPr="003B2691">
        <w:rPr>
          <w:rFonts w:ascii="Calibri" w:hAnsi="Calibri" w:cs="Times New Roman"/>
          <w:noProof/>
          <w:szCs w:val="24"/>
        </w:rPr>
        <w:t xml:space="preserve"> (2014) Imputation of missing data in life-history trait datasets: which approach performs the best? </w:t>
      </w:r>
      <w:r w:rsidRPr="003B2691">
        <w:rPr>
          <w:rFonts w:ascii="Calibri" w:hAnsi="Calibri" w:cs="Times New Roman"/>
          <w:i/>
          <w:iCs/>
          <w:noProof/>
          <w:szCs w:val="24"/>
        </w:rPr>
        <w:t>Methods in Ecology and Evolution</w:t>
      </w:r>
      <w:r w:rsidRPr="003B2691">
        <w:rPr>
          <w:rFonts w:ascii="Calibri" w:hAnsi="Calibri" w:cs="Times New Roman"/>
          <w:noProof/>
          <w:szCs w:val="24"/>
        </w:rPr>
        <w:t xml:space="preserve"> </w:t>
      </w:r>
      <w:r w:rsidRPr="003B2691">
        <w:rPr>
          <w:rFonts w:ascii="Calibri" w:hAnsi="Calibri" w:cs="Times New Roman"/>
          <w:b/>
          <w:bCs/>
          <w:noProof/>
          <w:szCs w:val="24"/>
        </w:rPr>
        <w:t>5</w:t>
      </w:r>
      <w:r w:rsidRPr="003B2691">
        <w:rPr>
          <w:rFonts w:ascii="Calibri" w:hAnsi="Calibri" w:cs="Times New Roman"/>
          <w:noProof/>
          <w:szCs w:val="24"/>
        </w:rPr>
        <w:t>, 961–970.</w:t>
      </w:r>
    </w:p>
    <w:p w14:paraId="1CE6D44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Peres-Neto P.R., Legendre P., Dray S. &amp; Borcard D. (2006) Variation Partitioning of Species Data Matrices: Estimation and Comparison of Fractions.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87</w:t>
      </w:r>
      <w:r w:rsidRPr="003B2691">
        <w:rPr>
          <w:rFonts w:ascii="Calibri" w:hAnsi="Calibri" w:cs="Times New Roman"/>
          <w:noProof/>
          <w:szCs w:val="24"/>
        </w:rPr>
        <w:t>, 2614–2625.</w:t>
      </w:r>
    </w:p>
    <w:p w14:paraId="5E6A862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Peterson E.E., Sheldon F., Darnell R., Bunn S.E. &amp; Harch B.D. (2011) A comparison of spatially explicit landscape representation methods and their relationship to stream condition.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56</w:t>
      </w:r>
      <w:r w:rsidRPr="003B2691">
        <w:rPr>
          <w:rFonts w:ascii="Calibri" w:hAnsi="Calibri" w:cs="Times New Roman"/>
          <w:noProof/>
          <w:szCs w:val="24"/>
        </w:rPr>
        <w:t>, 590–610.</w:t>
      </w:r>
    </w:p>
    <w:p w14:paraId="37A86DC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 Allan J. &amp; Bain M. (1997) The natural flow regime. </w:t>
      </w:r>
      <w:r w:rsidRPr="003B2691">
        <w:rPr>
          <w:rFonts w:ascii="Calibri" w:hAnsi="Calibri" w:cs="Times New Roman"/>
          <w:i/>
          <w:iCs/>
          <w:noProof/>
          <w:szCs w:val="24"/>
        </w:rPr>
        <w:t>BioScience</w:t>
      </w:r>
      <w:r w:rsidRPr="003B2691">
        <w:rPr>
          <w:rFonts w:ascii="Calibri" w:hAnsi="Calibri" w:cs="Times New Roman"/>
          <w:noProof/>
          <w:szCs w:val="24"/>
        </w:rPr>
        <w:t xml:space="preserve"> </w:t>
      </w:r>
      <w:r w:rsidRPr="003B2691">
        <w:rPr>
          <w:rFonts w:ascii="Calibri" w:hAnsi="Calibri" w:cs="Times New Roman"/>
          <w:b/>
          <w:bCs/>
          <w:noProof/>
          <w:szCs w:val="24"/>
        </w:rPr>
        <w:t>47</w:t>
      </w:r>
      <w:r w:rsidRPr="003B2691">
        <w:rPr>
          <w:rFonts w:ascii="Calibri" w:hAnsi="Calibri" w:cs="Times New Roman"/>
          <w:noProof/>
          <w:szCs w:val="24"/>
        </w:rPr>
        <w:t>, 769–784.</w:t>
      </w:r>
    </w:p>
    <w:p w14:paraId="5387C08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N.L., Olden J.D., Merritt D.M. &amp; Pepin D.M. (2007) Homogenization of regional river dynamics by dams and global biodiversity implications. </w:t>
      </w:r>
      <w:r w:rsidRPr="003B2691">
        <w:rPr>
          <w:rFonts w:ascii="Calibri" w:hAnsi="Calibri" w:cs="Times New Roman"/>
          <w:i/>
          <w:iCs/>
          <w:noProof/>
          <w:szCs w:val="24"/>
        </w:rPr>
        <w:t>Proceedings of the National Academy of Sciences</w:t>
      </w:r>
      <w:r w:rsidRPr="003B2691">
        <w:rPr>
          <w:rFonts w:ascii="Calibri" w:hAnsi="Calibri" w:cs="Times New Roman"/>
          <w:noProof/>
          <w:szCs w:val="24"/>
        </w:rPr>
        <w:t xml:space="preserve"> </w:t>
      </w:r>
      <w:r w:rsidRPr="003B2691">
        <w:rPr>
          <w:rFonts w:ascii="Calibri" w:hAnsi="Calibri" w:cs="Times New Roman"/>
          <w:b/>
          <w:bCs/>
          <w:noProof/>
          <w:szCs w:val="24"/>
        </w:rPr>
        <w:t>104</w:t>
      </w:r>
      <w:r w:rsidRPr="003B2691">
        <w:rPr>
          <w:rFonts w:ascii="Calibri" w:hAnsi="Calibri" w:cs="Times New Roman"/>
          <w:noProof/>
          <w:szCs w:val="24"/>
        </w:rPr>
        <w:t>, 5732–5737.</w:t>
      </w:r>
    </w:p>
    <w:p w14:paraId="19F11FE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N.L., Richter B.D., Arthington A.H., Bunn S.E., Naiman R.J., Kendy E., </w:t>
      </w:r>
      <w:r w:rsidRPr="003B2691">
        <w:rPr>
          <w:rFonts w:ascii="Calibri" w:hAnsi="Calibri" w:cs="Times New Roman"/>
          <w:i/>
          <w:iCs/>
          <w:noProof/>
          <w:szCs w:val="24"/>
        </w:rPr>
        <w:t>et al.</w:t>
      </w:r>
      <w:r w:rsidRPr="003B2691">
        <w:rPr>
          <w:rFonts w:ascii="Calibri" w:hAnsi="Calibri" w:cs="Times New Roman"/>
          <w:noProof/>
          <w:szCs w:val="24"/>
        </w:rPr>
        <w:t xml:space="preserve"> (2010) The ecological limits of hydrologic alteration (ELOHA): a new framework for developing regional environmental flow standards.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55</w:t>
      </w:r>
      <w:r w:rsidRPr="003B2691">
        <w:rPr>
          <w:rFonts w:ascii="Calibri" w:hAnsi="Calibri" w:cs="Times New Roman"/>
          <w:noProof/>
          <w:szCs w:val="24"/>
        </w:rPr>
        <w:t>, 147–170.</w:t>
      </w:r>
    </w:p>
    <w:p w14:paraId="5262CC1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N.L. &amp; Zimmerman J.K.H. (2010) Ecological responses to altered flow regimes: a literature review to inform the science and management of environmental flows.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55</w:t>
      </w:r>
      <w:r w:rsidRPr="003B2691">
        <w:rPr>
          <w:rFonts w:ascii="Calibri" w:hAnsi="Calibri" w:cs="Times New Roman"/>
          <w:noProof/>
          <w:szCs w:val="24"/>
        </w:rPr>
        <w:t>, 194–205.</w:t>
      </w:r>
    </w:p>
    <w:p w14:paraId="333C9E5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Pollock M.M., Naiman R.J. &amp; Hanley T. a (1998) Plant species richness in riparian wetlands - a test of biodiversity theory.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79</w:t>
      </w:r>
      <w:r w:rsidRPr="003B2691">
        <w:rPr>
          <w:rFonts w:ascii="Calibri" w:hAnsi="Calibri" w:cs="Times New Roman"/>
          <w:noProof/>
          <w:szCs w:val="24"/>
        </w:rPr>
        <w:t>, 94–105.</w:t>
      </w:r>
    </w:p>
    <w:p w14:paraId="37945A5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Preston K.A., Cornwell W.K. &amp; Denoyer J.L. (2006) Wood density and vessel traits as distinct correlates of ecological strategy in 51 California coast range angiosperms. </w:t>
      </w:r>
      <w:r w:rsidRPr="003B2691">
        <w:rPr>
          <w:rFonts w:ascii="Calibri" w:hAnsi="Calibri" w:cs="Times New Roman"/>
          <w:i/>
          <w:iCs/>
          <w:noProof/>
          <w:szCs w:val="24"/>
        </w:rPr>
        <w:t>The New Phytologist</w:t>
      </w:r>
      <w:r w:rsidRPr="003B2691">
        <w:rPr>
          <w:rFonts w:ascii="Calibri" w:hAnsi="Calibri" w:cs="Times New Roman"/>
          <w:noProof/>
          <w:szCs w:val="24"/>
        </w:rPr>
        <w:t xml:space="preserve"> </w:t>
      </w:r>
      <w:r w:rsidRPr="003B2691">
        <w:rPr>
          <w:rFonts w:ascii="Calibri" w:hAnsi="Calibri" w:cs="Times New Roman"/>
          <w:b/>
          <w:bCs/>
          <w:noProof/>
          <w:szCs w:val="24"/>
        </w:rPr>
        <w:t>170</w:t>
      </w:r>
      <w:r w:rsidRPr="003B2691">
        <w:rPr>
          <w:rFonts w:ascii="Calibri" w:hAnsi="Calibri" w:cs="Times New Roman"/>
          <w:noProof/>
          <w:szCs w:val="24"/>
        </w:rPr>
        <w:t>, 807–818.</w:t>
      </w:r>
    </w:p>
    <w:p w14:paraId="515A551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 Core Team (2015) R: A Language and Environment for Statistical Computing.</w:t>
      </w:r>
    </w:p>
    <w:p w14:paraId="117ED72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Richardson D.M., Holmes P.M., Esler K.J., Galatowitsch S.M., Stromberg J.C., Kirkman S.P., </w:t>
      </w:r>
      <w:r w:rsidRPr="003B2691">
        <w:rPr>
          <w:rFonts w:ascii="Calibri" w:hAnsi="Calibri" w:cs="Times New Roman"/>
          <w:i/>
          <w:iCs/>
          <w:noProof/>
          <w:szCs w:val="24"/>
        </w:rPr>
        <w:t>et al.</w:t>
      </w:r>
      <w:r w:rsidRPr="003B2691">
        <w:rPr>
          <w:rFonts w:ascii="Calibri" w:hAnsi="Calibri" w:cs="Times New Roman"/>
          <w:noProof/>
          <w:szCs w:val="24"/>
        </w:rPr>
        <w:t xml:space="preserve"> (2007) Riparian vegetation: degradation, alien plant invasions, and restoration prospects. </w:t>
      </w:r>
      <w:r w:rsidRPr="003B2691">
        <w:rPr>
          <w:rFonts w:ascii="Calibri" w:hAnsi="Calibri" w:cs="Times New Roman"/>
          <w:i/>
          <w:iCs/>
          <w:noProof/>
          <w:szCs w:val="24"/>
        </w:rPr>
        <w:t>Diversity and Distributions</w:t>
      </w:r>
      <w:r w:rsidRPr="003B2691">
        <w:rPr>
          <w:rFonts w:ascii="Calibri" w:hAnsi="Calibri" w:cs="Times New Roman"/>
          <w:noProof/>
          <w:szCs w:val="24"/>
        </w:rPr>
        <w:t xml:space="preserve"> </w:t>
      </w:r>
      <w:r w:rsidRPr="003B2691">
        <w:rPr>
          <w:rFonts w:ascii="Calibri" w:hAnsi="Calibri" w:cs="Times New Roman"/>
          <w:b/>
          <w:bCs/>
          <w:noProof/>
          <w:szCs w:val="24"/>
        </w:rPr>
        <w:t>13</w:t>
      </w:r>
      <w:r w:rsidRPr="003B2691">
        <w:rPr>
          <w:rFonts w:ascii="Calibri" w:hAnsi="Calibri" w:cs="Times New Roman"/>
          <w:noProof/>
          <w:szCs w:val="24"/>
        </w:rPr>
        <w:t>, 126–139.</w:t>
      </w:r>
    </w:p>
    <w:p w14:paraId="4A11BD4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lastRenderedPageBreak/>
        <w:t>Rossel R.V., Chen C., Grundy M., Searle R., Clifford D. &amp; Odgers N. (2014a) Soil and Landscape Grid National Soil Attribute Maps - Available Water Capacity (3" resolution) - Release 1. v3. CSIRO. Data Collection. 10.4225/08/546ED604ADD8A.</w:t>
      </w:r>
    </w:p>
    <w:p w14:paraId="259818A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(2014b) Soil and Landscape Grid National Soil Attribute Maps - Bulk Density - Whole Earth (3" resolution) - Release 1. v4. CSIRO. Data Collection. 10.4225/08/546EE212B0048.</w:t>
      </w:r>
    </w:p>
    <w:p w14:paraId="56F684C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(2014c) Soil and Landscape Grid National Soil Attribute Maps - Clay (3" resolution) - Release 1. v4. CSIRO. Data Collection. 10.4225/08/546EEE35164BF.</w:t>
      </w:r>
    </w:p>
    <w:p w14:paraId="4A5186E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(2014d) Soil and Landscape Grid National Soil Attribute Maps - Effective Cation Exchange Capacity (3" resolution) - Release 1. v3. CSIRO. Data Collection. 10.4225/08/546F091C11777.</w:t>
      </w:r>
    </w:p>
    <w:p w14:paraId="34B17BB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(2014e) Soil and Landscape Grid National Soil Attribute Maps - Organic Carbon (3" resolution) - Release 1. v1. CSIRO. Data Collection. 10.4225/08/547523BB0801A.</w:t>
      </w:r>
    </w:p>
    <w:p w14:paraId="17E360D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(2014f) Soil and Landscape Grid National Soil Attribute Maps - pH - CaCl2 (3" resolution) - Release 1. v2. CSIRO. Data Collection. 10.4225/08/546F17EC6AB6E.</w:t>
      </w:r>
    </w:p>
    <w:p w14:paraId="0905DCC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(2014g) Soil and Landscape Grid National Soil Attribute Maps - Sand (3" resolution) - Release 1. v4. CSIRO. Data Collection. 10.4225/08/546F29646877E.</w:t>
      </w:r>
    </w:p>
    <w:p w14:paraId="40F3E0F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(2014h) Soil and Landscape Grid National Soil Attribute Maps - Silt (3" resolution) - Release 1. v4. CSIRO. Data Collection. 10.4225/08/546F48D6A6D48.</w:t>
      </w:r>
    </w:p>
    <w:p w14:paraId="670A245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(2014i) Soil and Landscape Grid National Soil Attribute Maps - Soil Depth (3" resolution) - Release 1. v2. CSIRO. Data Collection. 10.4225/08/546F540FE10AA.</w:t>
      </w:r>
    </w:p>
    <w:p w14:paraId="0B20274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(2014j) Soil and Landscape Grid National Soil Attribute Maps - Total Nitrogen (3" resolution) - Release 1. v4. CSIRO. Data Collection. 10.4225/08/546F564AE11F9.</w:t>
      </w:r>
    </w:p>
    <w:p w14:paraId="6B90495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Rossel R.V., Chen C., Grundy M., Searle R., Clifford D. &amp; Odgers N. (2014k) Soil and Landscape Grid </w:t>
      </w:r>
      <w:r w:rsidRPr="003B2691">
        <w:rPr>
          <w:rFonts w:ascii="Calibri" w:hAnsi="Calibri" w:cs="Times New Roman"/>
          <w:noProof/>
          <w:szCs w:val="24"/>
        </w:rPr>
        <w:lastRenderedPageBreak/>
        <w:t>National Soil Attribute Maps - Total Phosphorus (3" resolution) - Release 1. v4. CSIRO. Data Collection. 10.4225/08/546F617719CAF.</w:t>
      </w:r>
    </w:p>
    <w:p w14:paraId="195AEB1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Royal Botanic Gardens and Domain Trust. PlantNET - The Plant Information Network System of The Royal Botanic Gardens and Domain Trust, Sydney, Australia. http://www.plantnet.rbgsyd.nsw.gov.au (accessed June 2015)</w:t>
      </w:r>
    </w:p>
    <w:p w14:paraId="4FFACD9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Royal Botanic Gardens Kew. Seed Information Database (SID) Version 7.1. Available from: http://data.kew.org/sid/ (August 2015) (2015).</w:t>
      </w:r>
    </w:p>
    <w:p w14:paraId="63AEF99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Rustomji P., Bennett N. &amp; Chiew F. (2009) Flood variability east of Australia’s Great Dividing Range. </w:t>
      </w:r>
      <w:r w:rsidRPr="003B2691">
        <w:rPr>
          <w:rFonts w:ascii="Calibri" w:hAnsi="Calibri" w:cs="Times New Roman"/>
          <w:i/>
          <w:iCs/>
          <w:noProof/>
          <w:szCs w:val="24"/>
        </w:rPr>
        <w:t>Journal of Hydrology</w:t>
      </w:r>
      <w:r w:rsidRPr="003B2691">
        <w:rPr>
          <w:rFonts w:ascii="Calibri" w:hAnsi="Calibri" w:cs="Times New Roman"/>
          <w:noProof/>
          <w:szCs w:val="24"/>
        </w:rPr>
        <w:t xml:space="preserve"> </w:t>
      </w:r>
      <w:r w:rsidRPr="003B2691">
        <w:rPr>
          <w:rFonts w:ascii="Calibri" w:hAnsi="Calibri" w:cs="Times New Roman"/>
          <w:b/>
          <w:bCs/>
          <w:noProof/>
          <w:szCs w:val="24"/>
        </w:rPr>
        <w:t>374</w:t>
      </w:r>
      <w:r w:rsidRPr="003B2691">
        <w:rPr>
          <w:rFonts w:ascii="Calibri" w:hAnsi="Calibri" w:cs="Times New Roman"/>
          <w:noProof/>
          <w:szCs w:val="24"/>
        </w:rPr>
        <w:t>, 196–208.</w:t>
      </w:r>
    </w:p>
    <w:p w14:paraId="4AA9215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Simons M., Podger G. &amp; Cooke R. (1996) IQQM: a hydrologic modelling tool for water resource and salinity management. </w:t>
      </w:r>
      <w:r w:rsidRPr="003B2691">
        <w:rPr>
          <w:rFonts w:ascii="Calibri" w:hAnsi="Calibri" w:cs="Times New Roman"/>
          <w:i/>
          <w:iCs/>
          <w:noProof/>
          <w:szCs w:val="24"/>
        </w:rPr>
        <w:t>Environmental Software</w:t>
      </w:r>
      <w:r w:rsidRPr="003B2691">
        <w:rPr>
          <w:rFonts w:ascii="Calibri" w:hAnsi="Calibri" w:cs="Times New Roman"/>
          <w:noProof/>
          <w:szCs w:val="24"/>
        </w:rPr>
        <w:t xml:space="preserve"> </w:t>
      </w:r>
      <w:r w:rsidRPr="003B2691">
        <w:rPr>
          <w:rFonts w:ascii="Calibri" w:hAnsi="Calibri" w:cs="Times New Roman"/>
          <w:b/>
          <w:bCs/>
          <w:noProof/>
          <w:szCs w:val="24"/>
        </w:rPr>
        <w:t>11</w:t>
      </w:r>
      <w:r w:rsidRPr="003B2691">
        <w:rPr>
          <w:rFonts w:ascii="Calibri" w:hAnsi="Calibri" w:cs="Times New Roman"/>
          <w:noProof/>
          <w:szCs w:val="24"/>
        </w:rPr>
        <w:t>, 185–192.</w:t>
      </w:r>
    </w:p>
    <w:p w14:paraId="5570F58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Singer M. (2007) The influence of major dams on hydrology through the drainage network of the Sacramento River basin, California. </w:t>
      </w:r>
      <w:r w:rsidRPr="003B2691">
        <w:rPr>
          <w:rFonts w:ascii="Calibri" w:hAnsi="Calibri" w:cs="Times New Roman"/>
          <w:i/>
          <w:iCs/>
          <w:noProof/>
          <w:szCs w:val="24"/>
        </w:rPr>
        <w:t>River Research and Applications</w:t>
      </w:r>
      <w:r w:rsidRPr="003B2691">
        <w:rPr>
          <w:rFonts w:ascii="Calibri" w:hAnsi="Calibri" w:cs="Times New Roman"/>
          <w:noProof/>
          <w:szCs w:val="24"/>
        </w:rPr>
        <w:t xml:space="preserve"> </w:t>
      </w:r>
      <w:r w:rsidRPr="003B2691">
        <w:rPr>
          <w:rFonts w:ascii="Calibri" w:hAnsi="Calibri" w:cs="Times New Roman"/>
          <w:b/>
          <w:bCs/>
          <w:noProof/>
          <w:szCs w:val="24"/>
        </w:rPr>
        <w:t>72</w:t>
      </w:r>
      <w:r w:rsidRPr="003B2691">
        <w:rPr>
          <w:rFonts w:ascii="Calibri" w:hAnsi="Calibri" w:cs="Times New Roman"/>
          <w:noProof/>
          <w:szCs w:val="24"/>
        </w:rPr>
        <w:t>, 55–72.</w:t>
      </w:r>
    </w:p>
    <w:p w14:paraId="698702B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Stein A., Gerstner K. &amp; Kreft H. (2014) Environmental heterogeneity as a universal driver of species richness across taxa, biomes and spatial scales. </w:t>
      </w:r>
      <w:r w:rsidRPr="003B2691">
        <w:rPr>
          <w:rFonts w:ascii="Calibri" w:hAnsi="Calibri" w:cs="Times New Roman"/>
          <w:i/>
          <w:iCs/>
          <w:noProof/>
          <w:szCs w:val="24"/>
        </w:rPr>
        <w:t>Ecology Letters</w:t>
      </w:r>
      <w:r w:rsidRPr="003B2691">
        <w:rPr>
          <w:rFonts w:ascii="Calibri" w:hAnsi="Calibri" w:cs="Times New Roman"/>
          <w:noProof/>
          <w:szCs w:val="24"/>
        </w:rPr>
        <w:t xml:space="preserve"> </w:t>
      </w:r>
      <w:r w:rsidRPr="003B2691">
        <w:rPr>
          <w:rFonts w:ascii="Calibri" w:hAnsi="Calibri" w:cs="Times New Roman"/>
          <w:b/>
          <w:bCs/>
          <w:noProof/>
          <w:szCs w:val="24"/>
        </w:rPr>
        <w:t>17</w:t>
      </w:r>
      <w:r w:rsidRPr="003B2691">
        <w:rPr>
          <w:rFonts w:ascii="Calibri" w:hAnsi="Calibri" w:cs="Times New Roman"/>
          <w:noProof/>
          <w:szCs w:val="24"/>
        </w:rPr>
        <w:t>, 866–880.</w:t>
      </w:r>
    </w:p>
    <w:p w14:paraId="7B812BA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Stekhoven D.J. &amp; Buhlmann P. (2012) MissForest - nonparametric missing value imputation for mixed-type data. </w:t>
      </w:r>
      <w:r w:rsidRPr="003B2691">
        <w:rPr>
          <w:rFonts w:ascii="Calibri" w:hAnsi="Calibri" w:cs="Times New Roman"/>
          <w:i/>
          <w:iCs/>
          <w:noProof/>
          <w:szCs w:val="24"/>
        </w:rPr>
        <w:t>Bioinformatics</w:t>
      </w:r>
      <w:r w:rsidRPr="003B2691">
        <w:rPr>
          <w:rFonts w:ascii="Calibri" w:hAnsi="Calibri" w:cs="Times New Roman"/>
          <w:noProof/>
          <w:szCs w:val="24"/>
        </w:rPr>
        <w:t xml:space="preserve"> </w:t>
      </w:r>
      <w:r w:rsidRPr="003B2691">
        <w:rPr>
          <w:rFonts w:ascii="Calibri" w:hAnsi="Calibri" w:cs="Times New Roman"/>
          <w:b/>
          <w:bCs/>
          <w:noProof/>
          <w:szCs w:val="24"/>
        </w:rPr>
        <w:t>28</w:t>
      </w:r>
      <w:r w:rsidRPr="003B2691">
        <w:rPr>
          <w:rFonts w:ascii="Calibri" w:hAnsi="Calibri" w:cs="Times New Roman"/>
          <w:noProof/>
          <w:szCs w:val="24"/>
        </w:rPr>
        <w:t>, 112–118.</w:t>
      </w:r>
    </w:p>
    <w:p w14:paraId="2574B6C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Stokes K.E. (2008) Exotic invasive black willow (Salix nigra) in Australia: influence of hydrological regimes on population dynamics. </w:t>
      </w:r>
      <w:r w:rsidRPr="003B2691">
        <w:rPr>
          <w:rFonts w:ascii="Calibri" w:hAnsi="Calibri" w:cs="Times New Roman"/>
          <w:i/>
          <w:iCs/>
          <w:noProof/>
          <w:szCs w:val="24"/>
        </w:rPr>
        <w:t>Plant Ecology</w:t>
      </w:r>
      <w:r w:rsidRPr="003B2691">
        <w:rPr>
          <w:rFonts w:ascii="Calibri" w:hAnsi="Calibri" w:cs="Times New Roman"/>
          <w:noProof/>
          <w:szCs w:val="24"/>
        </w:rPr>
        <w:t xml:space="preserve"> </w:t>
      </w:r>
      <w:r w:rsidRPr="003B2691">
        <w:rPr>
          <w:rFonts w:ascii="Calibri" w:hAnsi="Calibri" w:cs="Times New Roman"/>
          <w:b/>
          <w:bCs/>
          <w:noProof/>
          <w:szCs w:val="24"/>
        </w:rPr>
        <w:t>197</w:t>
      </w:r>
      <w:r w:rsidRPr="003B2691">
        <w:rPr>
          <w:rFonts w:ascii="Calibri" w:hAnsi="Calibri" w:cs="Times New Roman"/>
          <w:noProof/>
          <w:szCs w:val="24"/>
        </w:rPr>
        <w:t>, 91–105.</w:t>
      </w:r>
    </w:p>
    <w:p w14:paraId="0995D08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Tamme R., Hiiesalu I., Laanisto L., Szava-Kovats R. &amp; Pärtel M. (2010) Environmental heterogeneity, species diversity and co-existence at different spatial scales. </w:t>
      </w:r>
      <w:r w:rsidRPr="003B2691">
        <w:rPr>
          <w:rFonts w:ascii="Calibri" w:hAnsi="Calibri" w:cs="Times New Roman"/>
          <w:i/>
          <w:iCs/>
          <w:noProof/>
          <w:szCs w:val="24"/>
        </w:rPr>
        <w:t>Journal of Vegetation Science</w:t>
      </w:r>
      <w:r w:rsidRPr="003B2691">
        <w:rPr>
          <w:rFonts w:ascii="Calibri" w:hAnsi="Calibri" w:cs="Times New Roman"/>
          <w:noProof/>
          <w:szCs w:val="24"/>
        </w:rPr>
        <w:t xml:space="preserve"> </w:t>
      </w:r>
      <w:r w:rsidRPr="003B2691">
        <w:rPr>
          <w:rFonts w:ascii="Calibri" w:hAnsi="Calibri" w:cs="Times New Roman"/>
          <w:b/>
          <w:bCs/>
          <w:noProof/>
          <w:szCs w:val="24"/>
        </w:rPr>
        <w:t>21</w:t>
      </w:r>
      <w:r w:rsidRPr="003B2691">
        <w:rPr>
          <w:rFonts w:ascii="Calibri" w:hAnsi="Calibri" w:cs="Times New Roman"/>
          <w:noProof/>
          <w:szCs w:val="24"/>
        </w:rPr>
        <w:t>, 796–801.</w:t>
      </w:r>
    </w:p>
    <w:p w14:paraId="536DC72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Telewski F.W. (1995) Wind-induced physiological and developmental responses in trees. </w:t>
      </w:r>
      <w:r w:rsidRPr="003B2691">
        <w:rPr>
          <w:rFonts w:ascii="Calibri" w:hAnsi="Calibri" w:cs="Times New Roman"/>
          <w:i/>
          <w:iCs/>
          <w:noProof/>
          <w:szCs w:val="24"/>
        </w:rPr>
        <w:t>Wind and trees</w:t>
      </w:r>
      <w:r w:rsidRPr="003B2691">
        <w:rPr>
          <w:rFonts w:ascii="Calibri" w:hAnsi="Calibri" w:cs="Times New Roman"/>
          <w:noProof/>
          <w:szCs w:val="24"/>
        </w:rPr>
        <w:t xml:space="preserve"> </w:t>
      </w:r>
      <w:r w:rsidRPr="003B2691">
        <w:rPr>
          <w:rFonts w:ascii="Calibri" w:hAnsi="Calibri" w:cs="Times New Roman"/>
          <w:b/>
          <w:bCs/>
          <w:noProof/>
          <w:szCs w:val="24"/>
        </w:rPr>
        <w:t>237</w:t>
      </w:r>
      <w:r w:rsidRPr="003B2691">
        <w:rPr>
          <w:rFonts w:ascii="Calibri" w:hAnsi="Calibri" w:cs="Times New Roman"/>
          <w:noProof/>
          <w:szCs w:val="24"/>
        </w:rPr>
        <w:t>, 263.</w:t>
      </w:r>
    </w:p>
    <w:p w14:paraId="357CE8A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Vavrek M.J. (2011) Fossil: palaeoecological and palaeogeographical analysis tools. </w:t>
      </w:r>
      <w:r w:rsidRPr="003B2691">
        <w:rPr>
          <w:rFonts w:ascii="Calibri" w:hAnsi="Calibri" w:cs="Times New Roman"/>
          <w:i/>
          <w:iCs/>
          <w:noProof/>
          <w:szCs w:val="24"/>
        </w:rPr>
        <w:t>Palaeontologia Electronica</w:t>
      </w:r>
      <w:r w:rsidRPr="003B2691">
        <w:rPr>
          <w:rFonts w:ascii="Calibri" w:hAnsi="Calibri" w:cs="Times New Roman"/>
          <w:noProof/>
          <w:szCs w:val="24"/>
        </w:rPr>
        <w:t xml:space="preserve"> </w:t>
      </w:r>
      <w:r w:rsidRPr="003B2691">
        <w:rPr>
          <w:rFonts w:ascii="Calibri" w:hAnsi="Calibri" w:cs="Times New Roman"/>
          <w:b/>
          <w:bCs/>
          <w:noProof/>
          <w:szCs w:val="24"/>
        </w:rPr>
        <w:t>14</w:t>
      </w:r>
      <w:r w:rsidRPr="003B2691">
        <w:rPr>
          <w:rFonts w:ascii="Calibri" w:hAnsi="Calibri" w:cs="Times New Roman"/>
          <w:noProof/>
          <w:szCs w:val="24"/>
        </w:rPr>
        <w:t>, 16.</w:t>
      </w:r>
    </w:p>
    <w:p w14:paraId="13F6E45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Villéger S., Mason N.W.H. &amp; Mouillot D. (2008) New multidimensional functional diversity indices for a multifaceted framework in functional ecology.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89</w:t>
      </w:r>
      <w:r w:rsidRPr="003B2691">
        <w:rPr>
          <w:rFonts w:ascii="Calibri" w:hAnsi="Calibri" w:cs="Times New Roman"/>
          <w:noProof/>
          <w:szCs w:val="24"/>
        </w:rPr>
        <w:t>, 2290–301.</w:t>
      </w:r>
    </w:p>
    <w:p w14:paraId="01A330A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Violle C., Navas M.-L., Vile D., Kazakou E., Fortunel C., Hummel I., </w:t>
      </w:r>
      <w:r w:rsidRPr="003B2691">
        <w:rPr>
          <w:rFonts w:ascii="Calibri" w:hAnsi="Calibri" w:cs="Times New Roman"/>
          <w:i/>
          <w:iCs/>
          <w:noProof/>
          <w:szCs w:val="24"/>
        </w:rPr>
        <w:t>et al.</w:t>
      </w:r>
      <w:r w:rsidRPr="003B2691">
        <w:rPr>
          <w:rFonts w:ascii="Calibri" w:hAnsi="Calibri" w:cs="Times New Roman"/>
          <w:noProof/>
          <w:szCs w:val="24"/>
        </w:rPr>
        <w:t xml:space="preserve"> (2007) Let the concept of trait </w:t>
      </w:r>
      <w:r w:rsidRPr="003B2691">
        <w:rPr>
          <w:rFonts w:ascii="Calibri" w:hAnsi="Calibri" w:cs="Times New Roman"/>
          <w:noProof/>
          <w:szCs w:val="24"/>
        </w:rPr>
        <w:lastRenderedPageBreak/>
        <w:t xml:space="preserve">be functional! </w:t>
      </w:r>
      <w:r w:rsidRPr="003B2691">
        <w:rPr>
          <w:rFonts w:ascii="Calibri" w:hAnsi="Calibri" w:cs="Times New Roman"/>
          <w:i/>
          <w:iCs/>
          <w:noProof/>
          <w:szCs w:val="24"/>
        </w:rPr>
        <w:t>Oikos</w:t>
      </w:r>
      <w:r w:rsidRPr="003B2691">
        <w:rPr>
          <w:rFonts w:ascii="Calibri" w:hAnsi="Calibri" w:cs="Times New Roman"/>
          <w:noProof/>
          <w:szCs w:val="24"/>
        </w:rPr>
        <w:t xml:space="preserve"> </w:t>
      </w:r>
      <w:r w:rsidRPr="003B2691">
        <w:rPr>
          <w:rFonts w:ascii="Calibri" w:hAnsi="Calibri" w:cs="Times New Roman"/>
          <w:b/>
          <w:bCs/>
          <w:noProof/>
          <w:szCs w:val="24"/>
        </w:rPr>
        <w:t>116</w:t>
      </w:r>
      <w:r w:rsidRPr="003B2691">
        <w:rPr>
          <w:rFonts w:ascii="Calibri" w:hAnsi="Calibri" w:cs="Times New Roman"/>
          <w:noProof/>
          <w:szCs w:val="24"/>
        </w:rPr>
        <w:t>, 882–892.</w:t>
      </w:r>
    </w:p>
    <w:p w14:paraId="6C8F50D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Vitousek P.M., Mooney H. a, Lubchenco J. &amp; Melillo J.M. (1997) Human domination of Earth’s ecosystems. </w:t>
      </w:r>
      <w:r w:rsidRPr="003B2691">
        <w:rPr>
          <w:rFonts w:ascii="Calibri" w:hAnsi="Calibri" w:cs="Times New Roman"/>
          <w:i/>
          <w:iCs/>
          <w:noProof/>
          <w:szCs w:val="24"/>
        </w:rPr>
        <w:t>Science</w:t>
      </w:r>
      <w:r w:rsidRPr="003B2691">
        <w:rPr>
          <w:rFonts w:ascii="Calibri" w:hAnsi="Calibri" w:cs="Times New Roman"/>
          <w:noProof/>
          <w:szCs w:val="24"/>
        </w:rPr>
        <w:t xml:space="preserve"> </w:t>
      </w:r>
      <w:r w:rsidRPr="003B2691">
        <w:rPr>
          <w:rFonts w:ascii="Calibri" w:hAnsi="Calibri" w:cs="Times New Roman"/>
          <w:b/>
          <w:bCs/>
          <w:noProof/>
          <w:szCs w:val="24"/>
        </w:rPr>
        <w:t>277</w:t>
      </w:r>
      <w:r w:rsidRPr="003B2691">
        <w:rPr>
          <w:rFonts w:ascii="Calibri" w:hAnsi="Calibri" w:cs="Times New Roman"/>
          <w:noProof/>
          <w:szCs w:val="24"/>
        </w:rPr>
        <w:t>, 494–499.</w:t>
      </w:r>
    </w:p>
    <w:p w14:paraId="511D027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Westoby M. &amp; Wright I.J. (2006) Land-plant ecology on the basis of functional traits. </w:t>
      </w:r>
      <w:r w:rsidRPr="003B2691">
        <w:rPr>
          <w:rFonts w:ascii="Calibri" w:hAnsi="Calibri" w:cs="Times New Roman"/>
          <w:i/>
          <w:iCs/>
          <w:noProof/>
          <w:szCs w:val="24"/>
        </w:rPr>
        <w:t>Trends in Ecology &amp; Evolution</w:t>
      </w:r>
      <w:r w:rsidRPr="003B2691">
        <w:rPr>
          <w:rFonts w:ascii="Calibri" w:hAnsi="Calibri" w:cs="Times New Roman"/>
          <w:noProof/>
          <w:szCs w:val="24"/>
        </w:rPr>
        <w:t xml:space="preserve"> </w:t>
      </w:r>
      <w:r w:rsidRPr="003B2691">
        <w:rPr>
          <w:rFonts w:ascii="Calibri" w:hAnsi="Calibri" w:cs="Times New Roman"/>
          <w:b/>
          <w:bCs/>
          <w:noProof/>
          <w:szCs w:val="24"/>
        </w:rPr>
        <w:t>21</w:t>
      </w:r>
      <w:r w:rsidRPr="003B2691">
        <w:rPr>
          <w:rFonts w:ascii="Calibri" w:hAnsi="Calibri" w:cs="Times New Roman"/>
          <w:noProof/>
          <w:szCs w:val="24"/>
        </w:rPr>
        <w:t>, 261–8.</w:t>
      </w:r>
    </w:p>
    <w:p w14:paraId="60F4D48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Wilford J., Searle R., Thomas M. &amp; Grundy M. (2014) Soil and Landscape Grid National Soil Attribute Maps - Depth of Regolith (3" resolution) - Release 1. v3. CSIRO. Data Collection. 10.4225/08/546F06DFDFAC1.</w:t>
      </w:r>
    </w:p>
    <w:p w14:paraId="2B89AFC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Witte C., den Berg D., Rowland T., O’Donnell T., Denham R., Pitt G., </w:t>
      </w:r>
      <w:r w:rsidRPr="003B2691">
        <w:rPr>
          <w:rFonts w:ascii="Calibri" w:hAnsi="Calibri" w:cs="Times New Roman"/>
          <w:i/>
          <w:iCs/>
          <w:noProof/>
          <w:szCs w:val="24"/>
        </w:rPr>
        <w:t>et al.</w:t>
      </w:r>
      <w:r w:rsidRPr="003B2691">
        <w:rPr>
          <w:rFonts w:ascii="Calibri" w:hAnsi="Calibri" w:cs="Times New Roman"/>
          <w:noProof/>
          <w:szCs w:val="24"/>
        </w:rPr>
        <w:t xml:space="preserve"> (2006) Mapping Land Use in Queensland--Technical Report on the 1999 Land Use Map for Queensland. </w:t>
      </w:r>
      <w:r w:rsidRPr="003B2691">
        <w:rPr>
          <w:rFonts w:ascii="Calibri" w:hAnsi="Calibri" w:cs="Times New Roman"/>
          <w:i/>
          <w:iCs/>
          <w:noProof/>
          <w:szCs w:val="24"/>
        </w:rPr>
        <w:t>Department of Natural Resources, Mines and Water, Brisbane</w:t>
      </w:r>
      <w:r w:rsidRPr="003B2691">
        <w:rPr>
          <w:rFonts w:ascii="Calibri" w:hAnsi="Calibri" w:cs="Times New Roman"/>
          <w:noProof/>
          <w:szCs w:val="24"/>
        </w:rPr>
        <w:t>.</w:t>
      </w:r>
    </w:p>
    <w:p w14:paraId="5C287D3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Wright I., Clifford H., Kidson R., Reed M., Rice B. &amp; Westoby M. (2000) A survey of seed and seedling characters in 1744 Australian dicotyledon species: cross-species trait correlations and correlated trait-shifts within evolutionary lineages. </w:t>
      </w:r>
      <w:r w:rsidRPr="003B2691">
        <w:rPr>
          <w:rFonts w:ascii="Calibri" w:hAnsi="Calibri" w:cs="Times New Roman"/>
          <w:i/>
          <w:iCs/>
          <w:noProof/>
          <w:szCs w:val="24"/>
        </w:rPr>
        <w:t>Biological Journal of the Linnean Society</w:t>
      </w:r>
      <w:r w:rsidRPr="003B2691">
        <w:rPr>
          <w:rFonts w:ascii="Calibri" w:hAnsi="Calibri" w:cs="Times New Roman"/>
          <w:noProof/>
          <w:szCs w:val="24"/>
        </w:rPr>
        <w:t xml:space="preserve"> </w:t>
      </w:r>
      <w:r w:rsidRPr="003B2691">
        <w:rPr>
          <w:rFonts w:ascii="Calibri" w:hAnsi="Calibri" w:cs="Times New Roman"/>
          <w:b/>
          <w:bCs/>
          <w:noProof/>
          <w:szCs w:val="24"/>
        </w:rPr>
        <w:t>69</w:t>
      </w:r>
      <w:r w:rsidRPr="003B2691">
        <w:rPr>
          <w:rFonts w:ascii="Calibri" w:hAnsi="Calibri" w:cs="Times New Roman"/>
          <w:noProof/>
          <w:szCs w:val="24"/>
        </w:rPr>
        <w:t>, 521–547.</w:t>
      </w:r>
    </w:p>
    <w:p w14:paraId="18589BB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Wright I.J., Reich P.B., Westoby M., Ackerly D.D., Baruch Z., Bongers F., </w:t>
      </w:r>
      <w:r w:rsidRPr="003B2691">
        <w:rPr>
          <w:rFonts w:ascii="Calibri" w:hAnsi="Calibri" w:cs="Times New Roman"/>
          <w:i/>
          <w:iCs/>
          <w:noProof/>
          <w:szCs w:val="24"/>
        </w:rPr>
        <w:t>et al.</w:t>
      </w:r>
      <w:r w:rsidRPr="003B2691">
        <w:rPr>
          <w:rFonts w:ascii="Calibri" w:hAnsi="Calibri" w:cs="Times New Roman"/>
          <w:noProof/>
          <w:szCs w:val="24"/>
        </w:rPr>
        <w:t xml:space="preserve"> (2004) The worldwide leaf economics spectrum. </w:t>
      </w:r>
      <w:r w:rsidRPr="003B2691">
        <w:rPr>
          <w:rFonts w:ascii="Calibri" w:hAnsi="Calibri" w:cs="Times New Roman"/>
          <w:i/>
          <w:iCs/>
          <w:noProof/>
          <w:szCs w:val="24"/>
        </w:rPr>
        <w:t>Nature</w:t>
      </w:r>
      <w:r w:rsidRPr="003B2691">
        <w:rPr>
          <w:rFonts w:ascii="Calibri" w:hAnsi="Calibri" w:cs="Times New Roman"/>
          <w:noProof/>
          <w:szCs w:val="24"/>
        </w:rPr>
        <w:t xml:space="preserve"> </w:t>
      </w:r>
      <w:r w:rsidRPr="003B2691">
        <w:rPr>
          <w:rFonts w:ascii="Calibri" w:hAnsi="Calibri" w:cs="Times New Roman"/>
          <w:b/>
          <w:bCs/>
          <w:noProof/>
          <w:szCs w:val="24"/>
        </w:rPr>
        <w:t>428</w:t>
      </w:r>
      <w:r w:rsidRPr="003B2691">
        <w:rPr>
          <w:rFonts w:ascii="Calibri" w:hAnsi="Calibri" w:cs="Times New Roman"/>
          <w:noProof/>
          <w:szCs w:val="24"/>
        </w:rPr>
        <w:t>, 821–827.</w:t>
      </w:r>
    </w:p>
    <w:p w14:paraId="1A5ABB89" w14:textId="77777777" w:rsidR="003B2691" w:rsidRPr="003B2691" w:rsidRDefault="003B2691" w:rsidP="003B2691">
      <w:pPr>
        <w:widowControl w:val="0"/>
        <w:autoSpaceDE w:val="0"/>
        <w:autoSpaceDN w:val="0"/>
        <w:adjustRightInd w:val="0"/>
        <w:spacing w:line="360" w:lineRule="auto"/>
        <w:ind w:left="480" w:hanging="480"/>
        <w:rPr>
          <w:rFonts w:ascii="Calibri" w:hAnsi="Calibri"/>
          <w:noProof/>
        </w:rPr>
      </w:pPr>
      <w:r w:rsidRPr="003B2691">
        <w:rPr>
          <w:rFonts w:ascii="Calibri" w:hAnsi="Calibri" w:cs="Times New Roman"/>
          <w:noProof/>
          <w:szCs w:val="24"/>
        </w:rPr>
        <w:t xml:space="preserve">Zanne A.E., Lopez-Gonzalez G., Coomes D.A., Ilic J., Jansen S., Lewis S.L., </w:t>
      </w:r>
      <w:r w:rsidRPr="003B2691">
        <w:rPr>
          <w:rFonts w:ascii="Calibri" w:hAnsi="Calibri" w:cs="Times New Roman"/>
          <w:i/>
          <w:iCs/>
          <w:noProof/>
          <w:szCs w:val="24"/>
        </w:rPr>
        <w:t>et al.</w:t>
      </w:r>
      <w:r w:rsidRPr="003B2691">
        <w:rPr>
          <w:rFonts w:ascii="Calibri" w:hAnsi="Calibri" w:cs="Times New Roman"/>
          <w:noProof/>
          <w:szCs w:val="24"/>
        </w:rPr>
        <w:t xml:space="preserve"> (2009) Global wood density database. </w:t>
      </w:r>
      <w:r w:rsidRPr="003B2691">
        <w:rPr>
          <w:rFonts w:ascii="Calibri" w:hAnsi="Calibri" w:cs="Times New Roman"/>
          <w:i/>
          <w:iCs/>
          <w:noProof/>
          <w:szCs w:val="24"/>
        </w:rPr>
        <w:t>Dryad. Identifier: http://hdl. handle. net/10255/dryad</w:t>
      </w:r>
      <w:r w:rsidRPr="003B2691">
        <w:rPr>
          <w:rFonts w:ascii="Calibri" w:hAnsi="Calibri" w:cs="Times New Roman"/>
          <w:noProof/>
          <w:szCs w:val="24"/>
        </w:rPr>
        <w:t xml:space="preserve"> </w:t>
      </w:r>
      <w:r w:rsidRPr="003B2691">
        <w:rPr>
          <w:rFonts w:ascii="Calibri" w:hAnsi="Calibri" w:cs="Times New Roman"/>
          <w:b/>
          <w:bCs/>
          <w:noProof/>
          <w:szCs w:val="24"/>
        </w:rPr>
        <w:t>235</w:t>
      </w:r>
      <w:r w:rsidRPr="003B2691">
        <w:rPr>
          <w:rFonts w:ascii="Calibri" w:hAnsi="Calibri" w:cs="Times New Roman"/>
          <w:noProof/>
          <w:szCs w:val="24"/>
        </w:rPr>
        <w:t>.</w:t>
      </w:r>
    </w:p>
    <w:p w14:paraId="68E71200" w14:textId="1B88953C" w:rsidR="00370EFC" w:rsidRDefault="00370EFC" w:rsidP="004425F9">
      <w:pPr>
        <w:spacing w:line="360" w:lineRule="auto"/>
      </w:pPr>
      <w:r>
        <w:fldChar w:fldCharType="end"/>
      </w:r>
    </w:p>
    <w:p w14:paraId="5B005C1B" w14:textId="77777777" w:rsidR="00AE30EB" w:rsidRDefault="00AE30EB" w:rsidP="004425F9">
      <w:pPr>
        <w:spacing w:line="360" w:lineRule="auto"/>
      </w:pPr>
    </w:p>
    <w:p w14:paraId="4C32B72D" w14:textId="77777777" w:rsidR="00AE30EB" w:rsidRDefault="00AE30EB" w:rsidP="004425F9">
      <w:pPr>
        <w:spacing w:line="360" w:lineRule="auto"/>
      </w:pPr>
    </w:p>
    <w:p w14:paraId="7C3865BF" w14:textId="77777777" w:rsidR="00AE30EB" w:rsidRDefault="00AE30EB" w:rsidP="004425F9">
      <w:pPr>
        <w:spacing w:line="360" w:lineRule="auto"/>
      </w:pPr>
    </w:p>
    <w:p w14:paraId="1A64EE4D" w14:textId="77777777" w:rsidR="00AE30EB" w:rsidRDefault="00AE30EB" w:rsidP="004425F9">
      <w:pPr>
        <w:spacing w:line="360" w:lineRule="auto"/>
      </w:pPr>
    </w:p>
    <w:p w14:paraId="3FF35B42" w14:textId="77777777" w:rsidR="00AE30EB" w:rsidRDefault="00AE30EB" w:rsidP="004425F9">
      <w:pPr>
        <w:spacing w:line="360" w:lineRule="auto"/>
      </w:pPr>
    </w:p>
    <w:p w14:paraId="6EAAB57F" w14:textId="77777777" w:rsidR="00AE30EB" w:rsidRDefault="00AE30EB" w:rsidP="004425F9">
      <w:pPr>
        <w:spacing w:line="360" w:lineRule="auto"/>
      </w:pPr>
    </w:p>
    <w:p w14:paraId="233DB727" w14:textId="77777777" w:rsidR="00AE30EB" w:rsidRDefault="00AE30EB" w:rsidP="004425F9">
      <w:pPr>
        <w:spacing w:line="360" w:lineRule="auto"/>
      </w:pPr>
    </w:p>
    <w:p w14:paraId="67D01A4C" w14:textId="77777777" w:rsidR="00AE30EB" w:rsidRDefault="00AE30EB" w:rsidP="004425F9">
      <w:pPr>
        <w:spacing w:line="360" w:lineRule="auto"/>
      </w:pPr>
    </w:p>
    <w:p w14:paraId="1A146365" w14:textId="7BA4E9ED" w:rsidR="00324DC1" w:rsidRDefault="00324DC1" w:rsidP="004425F9">
      <w:pPr>
        <w:spacing w:line="360" w:lineRule="auto"/>
      </w:pPr>
      <w:r>
        <w:lastRenderedPageBreak/>
        <w:t>TABLES</w:t>
      </w:r>
    </w:p>
    <w:p w14:paraId="72E9BA3B" w14:textId="65AD431C" w:rsidR="00324DC1" w:rsidRDefault="00324DC1" w:rsidP="00FF6B5C">
      <w:pPr>
        <w:pStyle w:val="Caption"/>
        <w:keepNext/>
        <w:spacing w:line="276" w:lineRule="auto"/>
        <w:jc w:val="both"/>
        <w:rPr>
          <w:color w:val="auto"/>
          <w:sz w:val="22"/>
          <w:szCs w:val="22"/>
        </w:rPr>
      </w:pPr>
      <w:r>
        <w:rPr>
          <w:color w:val="auto"/>
          <w:sz w:val="22"/>
          <w:szCs w:val="22"/>
        </w:rPr>
        <w:t xml:space="preserve">Table 1. Hydrological variables used as metrics of fluvially induced environmental heterogeneity in the riparian zone (adapted from </w:t>
      </w:r>
      <w:r>
        <w:rPr>
          <w:color w:val="auto"/>
          <w:sz w:val="22"/>
          <w:szCs w:val="22"/>
        </w:rPr>
        <w:fldChar w:fldCharType="begin" w:fldLock="1"/>
      </w:r>
      <w:r w:rsidR="003B2691">
        <w:rPr>
          <w:color w:val="auto"/>
          <w:sz w:val="22"/>
          <w:szCs w:val="22"/>
        </w:rPr>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"manualFormatting" : "Lawson et al. (2015", "plainTextFormattedCitation" : "(Lawson et al. 2015)", "previouslyFormattedCitation" : "(Lawson &lt;i&gt;et al.&lt;/i&gt; 2015)" }, "properties" : { "noteIndex" : 0 }, "schema" : "https://github.com/citation-style-language/schema/raw/master/csl-citation.json" }</w:instrText>
      </w:r>
      <w:r>
        <w:rPr>
          <w:color w:val="auto"/>
          <w:sz w:val="22"/>
          <w:szCs w:val="22"/>
        </w:rPr>
        <w:fldChar w:fldCharType="separate"/>
      </w:r>
      <w:r w:rsidRPr="00140B44">
        <w:rPr>
          <w:i w:val="0"/>
          <w:noProof/>
          <w:color w:val="auto"/>
          <w:sz w:val="22"/>
          <w:szCs w:val="22"/>
        </w:rPr>
        <w:t xml:space="preserve">Lawson </w:t>
      </w:r>
      <w:r w:rsidRPr="00140B44">
        <w:rPr>
          <w:noProof/>
          <w:color w:val="auto"/>
          <w:sz w:val="22"/>
          <w:szCs w:val="22"/>
        </w:rPr>
        <w:t>et al.</w:t>
      </w:r>
      <w:r>
        <w:rPr>
          <w:noProof/>
          <w:color w:val="auto"/>
          <w:sz w:val="22"/>
          <w:szCs w:val="22"/>
        </w:rPr>
        <w:t xml:space="preserve"> (</w:t>
      </w:r>
      <w:r w:rsidRPr="00140B44">
        <w:rPr>
          <w:i w:val="0"/>
          <w:noProof/>
          <w:color w:val="auto"/>
          <w:sz w:val="22"/>
          <w:szCs w:val="22"/>
        </w:rPr>
        <w:t>2015</w:t>
      </w:r>
      <w:r>
        <w:rPr>
          <w:color w:val="auto"/>
          <w:sz w:val="22"/>
          <w:szCs w:val="22"/>
        </w:rPr>
        <w:fldChar w:fldCharType="end"/>
      </w:r>
      <w:r>
        <w:rPr>
          <w:color w:val="auto"/>
          <w:sz w:val="22"/>
          <w:szCs w:val="22"/>
        </w:rPr>
        <w:t>).</w:t>
      </w:r>
    </w:p>
    <w:tbl>
      <w:tblPr>
        <w:tblW w:w="901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3"/>
        <w:gridCol w:w="1902"/>
        <w:gridCol w:w="1559"/>
        <w:gridCol w:w="3351"/>
      </w:tblGrid>
      <w:tr w:rsidR="00324DC1" w14:paraId="4503B5B8" w14:textId="77777777" w:rsidTr="00A158C6">
        <w:tc>
          <w:tcPr>
            <w:tcW w:w="2203" w:type="dxa"/>
            <w:tcBorders>
              <w:top w:val="single" w:sz="4" w:space="0" w:color="auto"/>
              <w:left w:val="nil"/>
              <w:bottom w:val="single" w:sz="4" w:space="0" w:color="auto"/>
              <w:right w:val="nil"/>
            </w:tcBorders>
            <w:hideMark/>
          </w:tcPr>
          <w:p w14:paraId="0B9A6478" w14:textId="77777777" w:rsidR="00324DC1" w:rsidRDefault="00324DC1" w:rsidP="00A158C6">
            <w:pPr>
              <w:spacing w:line="276" w:lineRule="auto"/>
              <w:rPr>
                <w:b/>
              </w:rPr>
            </w:pPr>
            <w:r>
              <w:rPr>
                <w:b/>
              </w:rPr>
              <w:t>Parameter</w:t>
            </w:r>
          </w:p>
        </w:tc>
        <w:tc>
          <w:tcPr>
            <w:tcW w:w="1902" w:type="dxa"/>
            <w:tcBorders>
              <w:top w:val="single" w:sz="4" w:space="0" w:color="auto"/>
              <w:left w:val="nil"/>
              <w:bottom w:val="single" w:sz="4" w:space="0" w:color="auto"/>
              <w:right w:val="nil"/>
            </w:tcBorders>
            <w:hideMark/>
          </w:tcPr>
          <w:p w14:paraId="3D0D0CF6" w14:textId="77777777" w:rsidR="00324DC1" w:rsidRDefault="00324DC1" w:rsidP="00A158C6">
            <w:pPr>
              <w:spacing w:line="276" w:lineRule="auto"/>
              <w:rPr>
                <w:b/>
              </w:rPr>
            </w:pPr>
            <w:r>
              <w:rPr>
                <w:b/>
              </w:rPr>
              <w:t>Abbreviation</w:t>
            </w:r>
          </w:p>
        </w:tc>
        <w:tc>
          <w:tcPr>
            <w:tcW w:w="1559" w:type="dxa"/>
            <w:tcBorders>
              <w:top w:val="single" w:sz="4" w:space="0" w:color="auto"/>
              <w:left w:val="nil"/>
              <w:bottom w:val="single" w:sz="4" w:space="0" w:color="auto"/>
              <w:right w:val="nil"/>
            </w:tcBorders>
            <w:hideMark/>
          </w:tcPr>
          <w:p w14:paraId="38B70A24" w14:textId="77777777" w:rsidR="00324DC1" w:rsidRDefault="00324DC1" w:rsidP="00A158C6">
            <w:pPr>
              <w:spacing w:line="276" w:lineRule="auto"/>
              <w:rPr>
                <w:b/>
              </w:rPr>
            </w:pPr>
            <w:r>
              <w:rPr>
                <w:b/>
              </w:rPr>
              <w:t>Units</w:t>
            </w:r>
          </w:p>
        </w:tc>
        <w:tc>
          <w:tcPr>
            <w:tcW w:w="3351" w:type="dxa"/>
            <w:tcBorders>
              <w:top w:val="single" w:sz="4" w:space="0" w:color="auto"/>
              <w:left w:val="nil"/>
              <w:bottom w:val="single" w:sz="4" w:space="0" w:color="auto"/>
              <w:right w:val="nil"/>
            </w:tcBorders>
            <w:hideMark/>
          </w:tcPr>
          <w:p w14:paraId="610CD993" w14:textId="77777777" w:rsidR="00324DC1" w:rsidRDefault="00324DC1" w:rsidP="00A158C6">
            <w:pPr>
              <w:spacing w:line="276" w:lineRule="auto"/>
              <w:rPr>
                <w:b/>
              </w:rPr>
            </w:pPr>
            <w:r>
              <w:rPr>
                <w:b/>
              </w:rPr>
              <w:t>Description</w:t>
            </w:r>
          </w:p>
        </w:tc>
      </w:tr>
      <w:tr w:rsidR="00324DC1" w14:paraId="6D9F8451" w14:textId="77777777" w:rsidTr="00A158C6">
        <w:tc>
          <w:tcPr>
            <w:tcW w:w="9015" w:type="dxa"/>
            <w:gridSpan w:val="4"/>
            <w:tcBorders>
              <w:top w:val="single" w:sz="4" w:space="0" w:color="auto"/>
              <w:left w:val="nil"/>
              <w:bottom w:val="single" w:sz="4" w:space="0" w:color="auto"/>
              <w:right w:val="nil"/>
            </w:tcBorders>
            <w:hideMark/>
          </w:tcPr>
          <w:p w14:paraId="3A5F1B1A" w14:textId="77777777" w:rsidR="00324DC1" w:rsidRDefault="00324DC1" w:rsidP="00A158C6">
            <w:pPr>
              <w:spacing w:line="276" w:lineRule="auto"/>
              <w:rPr>
                <w:i/>
              </w:rPr>
            </w:pPr>
            <w:r>
              <w:rPr>
                <w:i/>
              </w:rPr>
              <w:t>Frequency, magnitude and duration of floods and dry spells</w:t>
            </w:r>
          </w:p>
        </w:tc>
      </w:tr>
      <w:tr w:rsidR="00324DC1" w14:paraId="392C9F59" w14:textId="77777777" w:rsidTr="00A158C6">
        <w:tc>
          <w:tcPr>
            <w:tcW w:w="2203" w:type="dxa"/>
            <w:tcBorders>
              <w:top w:val="single" w:sz="4" w:space="0" w:color="auto"/>
              <w:left w:val="nil"/>
              <w:bottom w:val="nil"/>
              <w:right w:val="nil"/>
            </w:tcBorders>
            <w:hideMark/>
          </w:tcPr>
          <w:p w14:paraId="1BA40965" w14:textId="77777777" w:rsidR="00324DC1" w:rsidRDefault="00324DC1" w:rsidP="00A158C6">
            <w:pPr>
              <w:spacing w:line="276" w:lineRule="auto"/>
            </w:pPr>
            <w:r>
              <w:t>Mean magnitude of high spells*</w:t>
            </w:r>
          </w:p>
          <w:p w14:paraId="7F0925CE" w14:textId="77777777" w:rsidR="00324DC1" w:rsidRDefault="00324DC1" w:rsidP="00A158C6">
            <w:pPr>
              <w:spacing w:line="276" w:lineRule="auto"/>
            </w:pPr>
            <w:r>
              <w:t>Mean magnitude of low spells*</w:t>
            </w:r>
          </w:p>
        </w:tc>
        <w:tc>
          <w:tcPr>
            <w:tcW w:w="1902" w:type="dxa"/>
            <w:tcBorders>
              <w:top w:val="single" w:sz="4" w:space="0" w:color="auto"/>
              <w:left w:val="nil"/>
              <w:bottom w:val="nil"/>
              <w:right w:val="nil"/>
            </w:tcBorders>
          </w:tcPr>
          <w:p w14:paraId="1CFC3FEE" w14:textId="77777777" w:rsidR="00324DC1" w:rsidRDefault="00324DC1" w:rsidP="00A158C6">
            <w:pPr>
              <w:spacing w:line="276" w:lineRule="auto"/>
            </w:pPr>
            <w:r>
              <w:t>HSPeak</w:t>
            </w:r>
          </w:p>
          <w:p w14:paraId="142D5D1D" w14:textId="77777777" w:rsidR="00324DC1" w:rsidRDefault="00324DC1" w:rsidP="00A158C6">
            <w:pPr>
              <w:spacing w:line="276" w:lineRule="auto"/>
            </w:pPr>
          </w:p>
          <w:p w14:paraId="2B59D83C" w14:textId="77777777" w:rsidR="00324DC1" w:rsidRDefault="00324DC1" w:rsidP="00A158C6">
            <w:pPr>
              <w:spacing w:line="276" w:lineRule="auto"/>
            </w:pPr>
            <w:r>
              <w:t>LSPeak</w:t>
            </w:r>
          </w:p>
        </w:tc>
        <w:tc>
          <w:tcPr>
            <w:tcW w:w="1559" w:type="dxa"/>
            <w:tcBorders>
              <w:top w:val="single" w:sz="4" w:space="0" w:color="auto"/>
              <w:left w:val="nil"/>
              <w:bottom w:val="nil"/>
              <w:right w:val="nil"/>
            </w:tcBorders>
          </w:tcPr>
          <w:p w14:paraId="30C94034" w14:textId="77777777" w:rsidR="00324DC1" w:rsidRDefault="00324DC1" w:rsidP="00A158C6">
            <w:pPr>
              <w:spacing w:line="276" w:lineRule="auto"/>
            </w:pPr>
            <w:r>
              <w:t>dimensionless</w:t>
            </w:r>
          </w:p>
          <w:p w14:paraId="33B0CC87" w14:textId="77777777" w:rsidR="00324DC1" w:rsidRDefault="00324DC1" w:rsidP="00A158C6">
            <w:pPr>
              <w:spacing w:line="276" w:lineRule="auto"/>
            </w:pPr>
          </w:p>
          <w:p w14:paraId="20A33561" w14:textId="77777777" w:rsidR="00324DC1" w:rsidRDefault="00324DC1" w:rsidP="00A158C6">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30439804" w14:textId="77777777" w:rsidR="00324DC1" w:rsidRDefault="00324DC1" w:rsidP="00A158C6">
            <w:pPr>
              <w:spacing w:line="276" w:lineRule="auto"/>
              <w:jc w:val="both"/>
            </w:pPr>
            <w:r>
              <w:t>Together, these metrics characterise the frequency, magnitude and duration of floods and dry spells. Extreme low or high flows contribute to spatial environmental heterogeneity, in that their effects (flooding disturbance, soil moisture stress) are spatially variable throughout the riparian landscape.</w:t>
            </w:r>
          </w:p>
          <w:p w14:paraId="2C2B99C3" w14:textId="77777777" w:rsidR="00324DC1" w:rsidRDefault="00324DC1" w:rsidP="00A158C6">
            <w:pPr>
              <w:spacing w:line="276" w:lineRule="auto"/>
              <w:jc w:val="both"/>
            </w:pPr>
            <w:r>
              <w:t>High flow spells are periods of flow above the 95</w:t>
            </w:r>
            <w:r>
              <w:rPr>
                <w:vertAlign w:val="superscript"/>
              </w:rPr>
              <w:t>th</w:t>
            </w:r>
            <w:r>
              <w:t xml:space="preserve"> percentile; low flow spells are periods of flow below the 5</w:t>
            </w:r>
            <w:r>
              <w:rPr>
                <w:vertAlign w:val="superscript"/>
              </w:rPr>
              <w:t>th</w:t>
            </w:r>
            <w:r>
              <w:t xml:space="preserve"> percentile. HSPeak and LSPeak describes the mean magnitude of highest and lowest flows during high and low spells throughout the record, respectively. MDFAnnHSNum and MDFAnnLSNum describe the mean annual frequency of high and low spells. HSMeanDur and LSMeanDur describe how long flow events last. </w:t>
            </w:r>
          </w:p>
          <w:p w14:paraId="1FB68C2F" w14:textId="77777777" w:rsidR="00324DC1" w:rsidRDefault="00324DC1" w:rsidP="00A158C6">
            <w:pPr>
              <w:spacing w:line="276" w:lineRule="auto"/>
              <w:jc w:val="both"/>
            </w:pPr>
            <w:r>
              <w:t xml:space="preserve">Coefficients of variation (CV) of these metrics between years characterise temporal heterogeneity in flow patterns.  </w:t>
            </w:r>
          </w:p>
        </w:tc>
      </w:tr>
      <w:tr w:rsidR="00324DC1" w14:paraId="3B5C73AA" w14:textId="77777777" w:rsidTr="00A158C6">
        <w:tc>
          <w:tcPr>
            <w:tcW w:w="2203" w:type="dxa"/>
            <w:tcBorders>
              <w:top w:val="nil"/>
              <w:left w:val="nil"/>
              <w:bottom w:val="nil"/>
              <w:right w:val="nil"/>
            </w:tcBorders>
            <w:hideMark/>
          </w:tcPr>
          <w:p w14:paraId="7FE9DC9D" w14:textId="77777777" w:rsidR="00324DC1" w:rsidRDefault="00324DC1" w:rsidP="00A158C6">
            <w:pPr>
              <w:spacing w:line="276" w:lineRule="auto"/>
            </w:pPr>
            <w:r>
              <w:t>CV of all years’ mean high spell magnitude</w:t>
            </w:r>
          </w:p>
          <w:p w14:paraId="49C17795" w14:textId="77777777" w:rsidR="00324DC1" w:rsidRDefault="00324DC1" w:rsidP="00A158C6">
            <w:pPr>
              <w:spacing w:line="276" w:lineRule="auto"/>
            </w:pPr>
            <w:r>
              <w:t>CV of all years’ mean low spell magnitude</w:t>
            </w:r>
          </w:p>
        </w:tc>
        <w:tc>
          <w:tcPr>
            <w:tcW w:w="1902" w:type="dxa"/>
            <w:tcBorders>
              <w:top w:val="nil"/>
              <w:left w:val="nil"/>
              <w:bottom w:val="nil"/>
              <w:right w:val="nil"/>
            </w:tcBorders>
          </w:tcPr>
          <w:p w14:paraId="1E157569" w14:textId="77777777" w:rsidR="00324DC1" w:rsidRDefault="00324DC1" w:rsidP="00A158C6">
            <w:pPr>
              <w:spacing w:line="276" w:lineRule="auto"/>
            </w:pPr>
            <w:r>
              <w:t>CVAnnHSPeak</w:t>
            </w:r>
          </w:p>
          <w:p w14:paraId="3845EE4C" w14:textId="77777777" w:rsidR="00324DC1" w:rsidRDefault="00324DC1" w:rsidP="00A158C6">
            <w:pPr>
              <w:spacing w:line="276" w:lineRule="auto"/>
            </w:pPr>
          </w:p>
          <w:p w14:paraId="6DD3B971" w14:textId="77777777" w:rsidR="00324DC1" w:rsidRDefault="00324DC1" w:rsidP="00A158C6">
            <w:pPr>
              <w:spacing w:line="276" w:lineRule="auto"/>
            </w:pPr>
            <w:r>
              <w:t>CVAnnLSPeak</w:t>
            </w:r>
          </w:p>
        </w:tc>
        <w:tc>
          <w:tcPr>
            <w:tcW w:w="1559" w:type="dxa"/>
            <w:tcBorders>
              <w:top w:val="nil"/>
              <w:left w:val="nil"/>
              <w:bottom w:val="nil"/>
              <w:right w:val="nil"/>
            </w:tcBorders>
          </w:tcPr>
          <w:p w14:paraId="6E7E0A1A" w14:textId="77777777" w:rsidR="00324DC1" w:rsidRDefault="00324DC1" w:rsidP="00A158C6">
            <w:pPr>
              <w:spacing w:line="276" w:lineRule="auto"/>
            </w:pPr>
            <w:r>
              <w:t>dimensionless</w:t>
            </w:r>
          </w:p>
          <w:p w14:paraId="74567091" w14:textId="77777777" w:rsidR="00324DC1" w:rsidRDefault="00324DC1" w:rsidP="00A158C6">
            <w:pPr>
              <w:spacing w:line="276" w:lineRule="auto"/>
            </w:pPr>
          </w:p>
          <w:p w14:paraId="332964E3" w14:textId="77777777" w:rsidR="00324DC1" w:rsidRDefault="00324DC1" w:rsidP="00A158C6">
            <w:pPr>
              <w:spacing w:line="276" w:lineRule="auto"/>
            </w:pPr>
            <w:r>
              <w:t>dimensionless</w:t>
            </w:r>
          </w:p>
          <w:p w14:paraId="561015D5" w14:textId="77777777" w:rsidR="00324DC1" w:rsidRDefault="00324DC1" w:rsidP="00A158C6">
            <w:pPr>
              <w:spacing w:line="276" w:lineRule="auto"/>
            </w:pPr>
          </w:p>
        </w:tc>
        <w:tc>
          <w:tcPr>
            <w:tcW w:w="3351" w:type="dxa"/>
            <w:vMerge/>
            <w:tcBorders>
              <w:top w:val="single" w:sz="4" w:space="0" w:color="auto"/>
              <w:left w:val="nil"/>
              <w:bottom w:val="single" w:sz="4" w:space="0" w:color="auto"/>
              <w:right w:val="nil"/>
            </w:tcBorders>
            <w:vAlign w:val="center"/>
            <w:hideMark/>
          </w:tcPr>
          <w:p w14:paraId="42225D27" w14:textId="77777777" w:rsidR="00324DC1" w:rsidRDefault="00324DC1" w:rsidP="00A158C6">
            <w:pPr>
              <w:spacing w:after="0" w:line="276" w:lineRule="auto"/>
              <w:jc w:val="both"/>
            </w:pPr>
          </w:p>
        </w:tc>
      </w:tr>
      <w:tr w:rsidR="00324DC1" w14:paraId="2A893F01" w14:textId="77777777" w:rsidTr="00A158C6">
        <w:tc>
          <w:tcPr>
            <w:tcW w:w="2203" w:type="dxa"/>
            <w:tcBorders>
              <w:top w:val="nil"/>
              <w:left w:val="nil"/>
              <w:bottom w:val="nil"/>
              <w:right w:val="nil"/>
            </w:tcBorders>
            <w:hideMark/>
          </w:tcPr>
          <w:p w14:paraId="64CE1A12" w14:textId="77777777" w:rsidR="00324DC1" w:rsidRDefault="00324DC1" w:rsidP="00A158C6">
            <w:pPr>
              <w:spacing w:line="276" w:lineRule="auto"/>
            </w:pPr>
            <w:r>
              <w:t>Mean of all years’ number of high spells</w:t>
            </w:r>
          </w:p>
          <w:p w14:paraId="51CB1229" w14:textId="77777777" w:rsidR="00324DC1" w:rsidRDefault="00324DC1" w:rsidP="00A158C6">
            <w:pPr>
              <w:spacing w:line="276" w:lineRule="auto"/>
            </w:pPr>
            <w:r>
              <w:t>Mean of all years’ number of low spells</w:t>
            </w:r>
          </w:p>
        </w:tc>
        <w:tc>
          <w:tcPr>
            <w:tcW w:w="1902" w:type="dxa"/>
            <w:tcBorders>
              <w:top w:val="nil"/>
              <w:left w:val="nil"/>
              <w:bottom w:val="nil"/>
              <w:right w:val="nil"/>
            </w:tcBorders>
          </w:tcPr>
          <w:p w14:paraId="76847EC4" w14:textId="77777777" w:rsidR="00324DC1" w:rsidRDefault="00324DC1" w:rsidP="00A158C6">
            <w:pPr>
              <w:spacing w:line="276" w:lineRule="auto"/>
            </w:pPr>
            <w:r>
              <w:t>MDFAnnHSNum</w:t>
            </w:r>
          </w:p>
          <w:p w14:paraId="5400172B" w14:textId="77777777" w:rsidR="00324DC1" w:rsidRDefault="00324DC1" w:rsidP="00A158C6">
            <w:pPr>
              <w:spacing w:line="276" w:lineRule="auto"/>
            </w:pPr>
          </w:p>
          <w:p w14:paraId="2285B11A" w14:textId="77777777" w:rsidR="00324DC1" w:rsidRDefault="00324DC1" w:rsidP="00A158C6">
            <w:pPr>
              <w:spacing w:line="276" w:lineRule="auto"/>
            </w:pPr>
            <w:r>
              <w:t>MDFAnnLSNum</w:t>
            </w:r>
          </w:p>
        </w:tc>
        <w:tc>
          <w:tcPr>
            <w:tcW w:w="1559" w:type="dxa"/>
            <w:tcBorders>
              <w:top w:val="nil"/>
              <w:left w:val="nil"/>
              <w:bottom w:val="nil"/>
              <w:right w:val="nil"/>
            </w:tcBorders>
          </w:tcPr>
          <w:p w14:paraId="7DE7FC2C" w14:textId="77777777" w:rsidR="00324DC1" w:rsidRDefault="00324DC1" w:rsidP="00A158C6">
            <w:pPr>
              <w:spacing w:line="276" w:lineRule="auto"/>
              <w:rPr>
                <w:vertAlign w:val="superscript"/>
              </w:rPr>
            </w:pPr>
            <w:r>
              <w:t>year</w:t>
            </w:r>
            <w:r>
              <w:rPr>
                <w:vertAlign w:val="superscript"/>
              </w:rPr>
              <w:t>-1</w:t>
            </w:r>
          </w:p>
          <w:p w14:paraId="47C219FF" w14:textId="77777777" w:rsidR="00324DC1" w:rsidRDefault="00324DC1" w:rsidP="00A158C6">
            <w:pPr>
              <w:spacing w:line="276" w:lineRule="auto"/>
              <w:rPr>
                <w:vertAlign w:val="superscript"/>
              </w:rPr>
            </w:pPr>
          </w:p>
          <w:p w14:paraId="7C6C28C5" w14:textId="77777777" w:rsidR="00324DC1" w:rsidRDefault="00324DC1" w:rsidP="00A158C6">
            <w:pPr>
              <w:spacing w:line="276" w:lineRule="auto"/>
            </w:pPr>
            <w:r>
              <w:t>year</w:t>
            </w:r>
            <w:r>
              <w:rPr>
                <w:vertAlign w:val="superscript"/>
              </w:rPr>
              <w:t>-1</w:t>
            </w:r>
          </w:p>
        </w:tc>
        <w:tc>
          <w:tcPr>
            <w:tcW w:w="3351" w:type="dxa"/>
            <w:vMerge/>
            <w:tcBorders>
              <w:top w:val="single" w:sz="4" w:space="0" w:color="auto"/>
              <w:left w:val="nil"/>
              <w:bottom w:val="single" w:sz="4" w:space="0" w:color="auto"/>
              <w:right w:val="nil"/>
            </w:tcBorders>
            <w:vAlign w:val="center"/>
            <w:hideMark/>
          </w:tcPr>
          <w:p w14:paraId="5C65054D" w14:textId="77777777" w:rsidR="00324DC1" w:rsidRDefault="00324DC1" w:rsidP="00A158C6">
            <w:pPr>
              <w:spacing w:after="0" w:line="276" w:lineRule="auto"/>
              <w:jc w:val="both"/>
            </w:pPr>
          </w:p>
        </w:tc>
      </w:tr>
      <w:tr w:rsidR="00324DC1" w14:paraId="35E259E9" w14:textId="77777777" w:rsidTr="00A158C6">
        <w:tc>
          <w:tcPr>
            <w:tcW w:w="2203" w:type="dxa"/>
            <w:tcBorders>
              <w:top w:val="nil"/>
              <w:left w:val="nil"/>
              <w:bottom w:val="nil"/>
              <w:right w:val="nil"/>
            </w:tcBorders>
            <w:hideMark/>
          </w:tcPr>
          <w:p w14:paraId="6E42CFA5" w14:textId="77777777" w:rsidR="00324DC1" w:rsidRDefault="00324DC1" w:rsidP="00A158C6">
            <w:pPr>
              <w:spacing w:line="276" w:lineRule="auto"/>
            </w:pPr>
            <w:r>
              <w:t>CV of all years’ number of high spells</w:t>
            </w:r>
          </w:p>
          <w:p w14:paraId="1424D552" w14:textId="77777777" w:rsidR="00324DC1" w:rsidRDefault="00324DC1" w:rsidP="00A158C6">
            <w:pPr>
              <w:spacing w:line="276" w:lineRule="auto"/>
            </w:pPr>
            <w:r>
              <w:t>CV of all years’ number of low spells</w:t>
            </w:r>
          </w:p>
        </w:tc>
        <w:tc>
          <w:tcPr>
            <w:tcW w:w="1902" w:type="dxa"/>
            <w:tcBorders>
              <w:top w:val="nil"/>
              <w:left w:val="nil"/>
              <w:bottom w:val="nil"/>
              <w:right w:val="nil"/>
            </w:tcBorders>
          </w:tcPr>
          <w:p w14:paraId="64185F50" w14:textId="77777777" w:rsidR="00324DC1" w:rsidRDefault="00324DC1" w:rsidP="00A158C6">
            <w:pPr>
              <w:spacing w:line="276" w:lineRule="auto"/>
            </w:pPr>
            <w:r>
              <w:t>CVAnnHSNum</w:t>
            </w:r>
          </w:p>
          <w:p w14:paraId="160D6691" w14:textId="77777777" w:rsidR="00324DC1" w:rsidRDefault="00324DC1" w:rsidP="00A158C6">
            <w:pPr>
              <w:spacing w:line="276" w:lineRule="auto"/>
            </w:pPr>
          </w:p>
          <w:p w14:paraId="1B248EBC" w14:textId="77777777" w:rsidR="00324DC1" w:rsidRDefault="00324DC1" w:rsidP="00A158C6">
            <w:pPr>
              <w:spacing w:line="276" w:lineRule="auto"/>
            </w:pPr>
            <w:r>
              <w:t>CVAnnLSNum</w:t>
            </w:r>
          </w:p>
        </w:tc>
        <w:tc>
          <w:tcPr>
            <w:tcW w:w="1559" w:type="dxa"/>
            <w:tcBorders>
              <w:top w:val="nil"/>
              <w:left w:val="nil"/>
              <w:bottom w:val="nil"/>
              <w:right w:val="nil"/>
            </w:tcBorders>
          </w:tcPr>
          <w:p w14:paraId="648495C4" w14:textId="77777777" w:rsidR="00324DC1" w:rsidRDefault="00324DC1" w:rsidP="00A158C6">
            <w:pPr>
              <w:spacing w:line="276" w:lineRule="auto"/>
            </w:pPr>
            <w:r>
              <w:t>dimensionless</w:t>
            </w:r>
          </w:p>
          <w:p w14:paraId="4D726761" w14:textId="77777777" w:rsidR="00324DC1" w:rsidRDefault="00324DC1" w:rsidP="00A158C6">
            <w:pPr>
              <w:spacing w:line="276" w:lineRule="auto"/>
            </w:pPr>
          </w:p>
          <w:p w14:paraId="38F4D2A6" w14:textId="77777777" w:rsidR="00324DC1" w:rsidRDefault="00324DC1" w:rsidP="00A158C6">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341FF0D" w14:textId="77777777" w:rsidR="00324DC1" w:rsidRDefault="00324DC1" w:rsidP="00A158C6">
            <w:pPr>
              <w:spacing w:after="0" w:line="276" w:lineRule="auto"/>
              <w:jc w:val="both"/>
            </w:pPr>
          </w:p>
        </w:tc>
      </w:tr>
      <w:tr w:rsidR="00324DC1" w14:paraId="5992197E" w14:textId="77777777" w:rsidTr="00A158C6">
        <w:tc>
          <w:tcPr>
            <w:tcW w:w="2203" w:type="dxa"/>
            <w:tcBorders>
              <w:top w:val="nil"/>
              <w:left w:val="nil"/>
              <w:bottom w:val="nil"/>
              <w:right w:val="nil"/>
            </w:tcBorders>
            <w:hideMark/>
          </w:tcPr>
          <w:p w14:paraId="479FFE5C" w14:textId="77777777" w:rsidR="00324DC1" w:rsidRDefault="00324DC1" w:rsidP="00A158C6">
            <w:pPr>
              <w:spacing w:line="276" w:lineRule="auto"/>
            </w:pPr>
            <w:r>
              <w:t>High spell mean duration</w:t>
            </w:r>
          </w:p>
          <w:p w14:paraId="5FEDEA88" w14:textId="77777777" w:rsidR="00324DC1" w:rsidRDefault="00324DC1" w:rsidP="00A158C6">
            <w:pPr>
              <w:spacing w:line="276" w:lineRule="auto"/>
            </w:pPr>
            <w:r>
              <w:t>Low spell mean duration</w:t>
            </w:r>
          </w:p>
        </w:tc>
        <w:tc>
          <w:tcPr>
            <w:tcW w:w="1902" w:type="dxa"/>
            <w:tcBorders>
              <w:top w:val="nil"/>
              <w:left w:val="nil"/>
              <w:bottom w:val="nil"/>
              <w:right w:val="nil"/>
            </w:tcBorders>
          </w:tcPr>
          <w:p w14:paraId="454B5ED0" w14:textId="77777777" w:rsidR="00324DC1" w:rsidRDefault="00324DC1" w:rsidP="00A158C6">
            <w:pPr>
              <w:spacing w:line="276" w:lineRule="auto"/>
            </w:pPr>
            <w:r>
              <w:t>HSMeanDur</w:t>
            </w:r>
          </w:p>
          <w:p w14:paraId="7781319E" w14:textId="77777777" w:rsidR="00324DC1" w:rsidRDefault="00324DC1" w:rsidP="00A158C6">
            <w:pPr>
              <w:spacing w:line="276" w:lineRule="auto"/>
            </w:pPr>
          </w:p>
          <w:p w14:paraId="3259755B" w14:textId="77777777" w:rsidR="00324DC1" w:rsidRDefault="00324DC1" w:rsidP="00A158C6">
            <w:pPr>
              <w:spacing w:line="276" w:lineRule="auto"/>
            </w:pPr>
            <w:r>
              <w:t>LSMeanDur</w:t>
            </w:r>
          </w:p>
        </w:tc>
        <w:tc>
          <w:tcPr>
            <w:tcW w:w="1559" w:type="dxa"/>
            <w:tcBorders>
              <w:top w:val="nil"/>
              <w:left w:val="nil"/>
              <w:bottom w:val="nil"/>
              <w:right w:val="nil"/>
            </w:tcBorders>
          </w:tcPr>
          <w:p w14:paraId="2CF800BF" w14:textId="77777777" w:rsidR="00324DC1" w:rsidRDefault="00324DC1" w:rsidP="00A158C6">
            <w:pPr>
              <w:spacing w:line="276" w:lineRule="auto"/>
            </w:pPr>
            <w:r>
              <w:t>days</w:t>
            </w:r>
          </w:p>
          <w:p w14:paraId="41416D50" w14:textId="77777777" w:rsidR="00324DC1" w:rsidRDefault="00324DC1" w:rsidP="00A158C6">
            <w:pPr>
              <w:spacing w:line="276" w:lineRule="auto"/>
            </w:pPr>
          </w:p>
          <w:p w14:paraId="060B6C4F" w14:textId="77777777" w:rsidR="00324DC1" w:rsidRDefault="00324DC1" w:rsidP="00A158C6">
            <w:pPr>
              <w:spacing w:line="276" w:lineRule="auto"/>
            </w:pPr>
            <w:r>
              <w:t>days</w:t>
            </w:r>
          </w:p>
        </w:tc>
        <w:tc>
          <w:tcPr>
            <w:tcW w:w="3351" w:type="dxa"/>
            <w:vMerge/>
            <w:tcBorders>
              <w:top w:val="single" w:sz="4" w:space="0" w:color="auto"/>
              <w:left w:val="nil"/>
              <w:bottom w:val="single" w:sz="4" w:space="0" w:color="auto"/>
              <w:right w:val="nil"/>
            </w:tcBorders>
            <w:vAlign w:val="center"/>
            <w:hideMark/>
          </w:tcPr>
          <w:p w14:paraId="7F46C8CB" w14:textId="77777777" w:rsidR="00324DC1" w:rsidRDefault="00324DC1" w:rsidP="00A158C6">
            <w:pPr>
              <w:spacing w:after="0" w:line="276" w:lineRule="auto"/>
              <w:jc w:val="both"/>
            </w:pPr>
          </w:p>
        </w:tc>
      </w:tr>
      <w:tr w:rsidR="00324DC1" w14:paraId="478B9923" w14:textId="77777777" w:rsidTr="00A158C6">
        <w:tc>
          <w:tcPr>
            <w:tcW w:w="2203" w:type="dxa"/>
            <w:tcBorders>
              <w:top w:val="nil"/>
              <w:left w:val="nil"/>
              <w:bottom w:val="single" w:sz="4" w:space="0" w:color="auto"/>
              <w:right w:val="nil"/>
            </w:tcBorders>
            <w:hideMark/>
          </w:tcPr>
          <w:p w14:paraId="54E8D974" w14:textId="77777777" w:rsidR="00324DC1" w:rsidRDefault="00324DC1" w:rsidP="00A158C6">
            <w:pPr>
              <w:spacing w:line="276" w:lineRule="auto"/>
            </w:pPr>
            <w:r>
              <w:t>CV of all years’ high spell mean duration</w:t>
            </w:r>
          </w:p>
          <w:p w14:paraId="03EB1973" w14:textId="77777777" w:rsidR="00324DC1" w:rsidRDefault="00324DC1" w:rsidP="00A158C6">
            <w:pPr>
              <w:spacing w:line="276" w:lineRule="auto"/>
            </w:pPr>
            <w:r>
              <w:t>CV of all years’ low spell mean duration</w:t>
            </w:r>
          </w:p>
        </w:tc>
        <w:tc>
          <w:tcPr>
            <w:tcW w:w="1902" w:type="dxa"/>
            <w:tcBorders>
              <w:top w:val="nil"/>
              <w:left w:val="nil"/>
              <w:bottom w:val="single" w:sz="4" w:space="0" w:color="auto"/>
              <w:right w:val="nil"/>
            </w:tcBorders>
          </w:tcPr>
          <w:p w14:paraId="6D3C103D" w14:textId="77777777" w:rsidR="00324DC1" w:rsidRDefault="00324DC1" w:rsidP="00A158C6">
            <w:pPr>
              <w:spacing w:line="276" w:lineRule="auto"/>
            </w:pPr>
            <w:r>
              <w:t>HSMeanDur</w:t>
            </w:r>
          </w:p>
          <w:p w14:paraId="3447EE98" w14:textId="77777777" w:rsidR="00324DC1" w:rsidRDefault="00324DC1" w:rsidP="00A158C6">
            <w:pPr>
              <w:spacing w:line="276" w:lineRule="auto"/>
            </w:pPr>
          </w:p>
          <w:p w14:paraId="46990F91" w14:textId="77777777" w:rsidR="00324DC1" w:rsidRDefault="00324DC1" w:rsidP="00A158C6">
            <w:pPr>
              <w:spacing w:line="276" w:lineRule="auto"/>
            </w:pPr>
            <w:r>
              <w:t>LSMeanDur</w:t>
            </w:r>
          </w:p>
        </w:tc>
        <w:tc>
          <w:tcPr>
            <w:tcW w:w="1559" w:type="dxa"/>
            <w:tcBorders>
              <w:top w:val="nil"/>
              <w:left w:val="nil"/>
              <w:bottom w:val="single" w:sz="4" w:space="0" w:color="auto"/>
              <w:right w:val="nil"/>
            </w:tcBorders>
          </w:tcPr>
          <w:p w14:paraId="78F6F90D" w14:textId="77777777" w:rsidR="00324DC1" w:rsidRDefault="00324DC1" w:rsidP="00A158C6">
            <w:pPr>
              <w:spacing w:line="276" w:lineRule="auto"/>
            </w:pPr>
            <w:r>
              <w:t>dimensionless</w:t>
            </w:r>
          </w:p>
          <w:p w14:paraId="35BD5D96" w14:textId="77777777" w:rsidR="00324DC1" w:rsidRDefault="00324DC1" w:rsidP="00A158C6">
            <w:pPr>
              <w:spacing w:line="276" w:lineRule="auto"/>
            </w:pPr>
          </w:p>
          <w:p w14:paraId="3CBC12B1" w14:textId="77777777" w:rsidR="00324DC1" w:rsidRDefault="00324DC1" w:rsidP="00A158C6">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1625E9EB" w14:textId="77777777" w:rsidR="00324DC1" w:rsidRDefault="00324DC1" w:rsidP="00A158C6">
            <w:pPr>
              <w:spacing w:after="0" w:line="276" w:lineRule="auto"/>
              <w:jc w:val="both"/>
            </w:pPr>
          </w:p>
        </w:tc>
      </w:tr>
      <w:tr w:rsidR="00324DC1" w14:paraId="059DFDB3" w14:textId="77777777" w:rsidTr="00A158C6">
        <w:tc>
          <w:tcPr>
            <w:tcW w:w="9015" w:type="dxa"/>
            <w:gridSpan w:val="4"/>
            <w:tcBorders>
              <w:top w:val="nil"/>
              <w:left w:val="nil"/>
              <w:bottom w:val="single" w:sz="4" w:space="0" w:color="auto"/>
              <w:right w:val="nil"/>
            </w:tcBorders>
            <w:hideMark/>
          </w:tcPr>
          <w:p w14:paraId="517EB977" w14:textId="77777777" w:rsidR="00324DC1" w:rsidRDefault="00324DC1" w:rsidP="00A158C6">
            <w:pPr>
              <w:spacing w:line="276" w:lineRule="auto"/>
              <w:jc w:val="both"/>
              <w:rPr>
                <w:i/>
              </w:rPr>
            </w:pPr>
            <w:r>
              <w:rPr>
                <w:i/>
              </w:rPr>
              <w:t>Baseflow index</w:t>
            </w:r>
          </w:p>
        </w:tc>
      </w:tr>
      <w:tr w:rsidR="00324DC1" w14:paraId="3323629A" w14:textId="77777777" w:rsidTr="00A158C6">
        <w:trPr>
          <w:trHeight w:val="5397"/>
        </w:trPr>
        <w:tc>
          <w:tcPr>
            <w:tcW w:w="2203" w:type="dxa"/>
            <w:tcBorders>
              <w:top w:val="nil"/>
              <w:left w:val="nil"/>
              <w:bottom w:val="nil"/>
              <w:right w:val="nil"/>
            </w:tcBorders>
            <w:hideMark/>
          </w:tcPr>
          <w:p w14:paraId="191A6BFC" w14:textId="77777777" w:rsidR="00324DC1" w:rsidRDefault="00324DC1" w:rsidP="00A158C6">
            <w:pPr>
              <w:spacing w:line="276" w:lineRule="auto"/>
            </w:pPr>
            <w:r>
              <w:lastRenderedPageBreak/>
              <w:t>Baseflow index</w:t>
            </w:r>
          </w:p>
          <w:p w14:paraId="25AD5F9E" w14:textId="77777777" w:rsidR="00324DC1" w:rsidRDefault="00324DC1" w:rsidP="00A158C6">
            <w:pPr>
              <w:spacing w:line="276" w:lineRule="auto"/>
            </w:pPr>
            <w:r>
              <w:t>CV of all year’s baseflow index</w:t>
            </w:r>
          </w:p>
        </w:tc>
        <w:tc>
          <w:tcPr>
            <w:tcW w:w="1902" w:type="dxa"/>
            <w:tcBorders>
              <w:top w:val="nil"/>
              <w:left w:val="nil"/>
              <w:bottom w:val="nil"/>
              <w:right w:val="nil"/>
            </w:tcBorders>
            <w:hideMark/>
          </w:tcPr>
          <w:p w14:paraId="0739E54D" w14:textId="77777777" w:rsidR="00324DC1" w:rsidRDefault="00324DC1" w:rsidP="00A158C6">
            <w:pPr>
              <w:spacing w:line="276" w:lineRule="auto"/>
            </w:pPr>
            <w:r>
              <w:t>BFI</w:t>
            </w:r>
          </w:p>
          <w:p w14:paraId="531E7797" w14:textId="77777777" w:rsidR="00324DC1" w:rsidRDefault="00324DC1" w:rsidP="00A158C6">
            <w:pPr>
              <w:spacing w:line="276" w:lineRule="auto"/>
            </w:pPr>
            <w:r>
              <w:t>CVAnnBFI</w:t>
            </w:r>
          </w:p>
        </w:tc>
        <w:tc>
          <w:tcPr>
            <w:tcW w:w="1559" w:type="dxa"/>
            <w:tcBorders>
              <w:top w:val="nil"/>
              <w:left w:val="nil"/>
              <w:bottom w:val="nil"/>
              <w:right w:val="nil"/>
            </w:tcBorders>
            <w:hideMark/>
          </w:tcPr>
          <w:p w14:paraId="52DEB3AC" w14:textId="77777777" w:rsidR="00324DC1" w:rsidRDefault="00324DC1" w:rsidP="00A158C6">
            <w:pPr>
              <w:spacing w:line="276" w:lineRule="auto"/>
            </w:pPr>
            <w:r>
              <w:t>dimensionless</w:t>
            </w:r>
          </w:p>
          <w:p w14:paraId="449FA2D4" w14:textId="77777777" w:rsidR="00324DC1" w:rsidRDefault="00324DC1" w:rsidP="00A158C6">
            <w:pPr>
              <w:spacing w:line="276" w:lineRule="auto"/>
            </w:pPr>
            <w:r>
              <w:t>dimensionless</w:t>
            </w:r>
          </w:p>
        </w:tc>
        <w:tc>
          <w:tcPr>
            <w:tcW w:w="3351" w:type="dxa"/>
            <w:tcBorders>
              <w:top w:val="nil"/>
              <w:left w:val="nil"/>
              <w:bottom w:val="nil"/>
              <w:right w:val="nil"/>
            </w:tcBorders>
            <w:hideMark/>
          </w:tcPr>
          <w:p w14:paraId="3B367496" w14:textId="77777777" w:rsidR="00324DC1" w:rsidRDefault="00324DC1" w:rsidP="00A158C6">
            <w:pPr>
              <w:spacing w:line="276" w:lineRule="auto"/>
              <w:jc w:val="both"/>
            </w:pPr>
            <w:r>
              <w:t xml:space="preserve">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 Thus higher baseflow systems experience more homogeneous flows. </w:t>
            </w:r>
          </w:p>
        </w:tc>
      </w:tr>
      <w:tr w:rsidR="00324DC1" w14:paraId="312BD452" w14:textId="77777777" w:rsidTr="00A158C6">
        <w:tc>
          <w:tcPr>
            <w:tcW w:w="9015" w:type="dxa"/>
            <w:gridSpan w:val="4"/>
            <w:tcBorders>
              <w:top w:val="single" w:sz="4" w:space="0" w:color="auto"/>
              <w:left w:val="nil"/>
              <w:bottom w:val="single" w:sz="4" w:space="0" w:color="auto"/>
              <w:right w:val="nil"/>
            </w:tcBorders>
            <w:hideMark/>
          </w:tcPr>
          <w:p w14:paraId="6F8A8C0D" w14:textId="77777777" w:rsidR="00324DC1" w:rsidRDefault="00324DC1" w:rsidP="00A158C6">
            <w:pPr>
              <w:spacing w:line="276" w:lineRule="auto"/>
              <w:jc w:val="both"/>
            </w:pPr>
            <w:r>
              <w:rPr>
                <w:i/>
              </w:rPr>
              <w:t>Colwell’s indices</w:t>
            </w:r>
          </w:p>
        </w:tc>
      </w:tr>
      <w:tr w:rsidR="00324DC1" w14:paraId="5B30BBD2" w14:textId="77777777" w:rsidTr="00A158C6">
        <w:tc>
          <w:tcPr>
            <w:tcW w:w="2203" w:type="dxa"/>
            <w:tcBorders>
              <w:top w:val="single" w:sz="4" w:space="0" w:color="auto"/>
              <w:left w:val="nil"/>
              <w:bottom w:val="nil"/>
              <w:right w:val="nil"/>
            </w:tcBorders>
            <w:hideMark/>
          </w:tcPr>
          <w:p w14:paraId="797D2288" w14:textId="77777777" w:rsidR="00324DC1" w:rsidRDefault="00324DC1" w:rsidP="00A158C6">
            <w:pPr>
              <w:spacing w:line="276" w:lineRule="auto"/>
            </w:pPr>
            <w:r>
              <w:t xml:space="preserve">Constancy of monthly minimum daily flow </w:t>
            </w:r>
          </w:p>
        </w:tc>
        <w:tc>
          <w:tcPr>
            <w:tcW w:w="1902" w:type="dxa"/>
            <w:tcBorders>
              <w:top w:val="single" w:sz="4" w:space="0" w:color="auto"/>
              <w:left w:val="nil"/>
              <w:bottom w:val="nil"/>
              <w:right w:val="nil"/>
            </w:tcBorders>
            <w:hideMark/>
          </w:tcPr>
          <w:p w14:paraId="50A2A5F4" w14:textId="77777777" w:rsidR="00324DC1" w:rsidRDefault="00324DC1" w:rsidP="00A158C6">
            <w:pPr>
              <w:spacing w:line="276" w:lineRule="auto"/>
            </w:pPr>
            <w:r>
              <w:t>C_MinM</w:t>
            </w:r>
          </w:p>
        </w:tc>
        <w:tc>
          <w:tcPr>
            <w:tcW w:w="1559" w:type="dxa"/>
            <w:tcBorders>
              <w:top w:val="single" w:sz="4" w:space="0" w:color="auto"/>
              <w:left w:val="nil"/>
              <w:bottom w:val="nil"/>
              <w:right w:val="nil"/>
            </w:tcBorders>
            <w:hideMark/>
          </w:tcPr>
          <w:p w14:paraId="0AC566DF" w14:textId="77777777" w:rsidR="00324DC1" w:rsidRDefault="00324DC1" w:rsidP="00A158C6">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52083BB2" w14:textId="77777777" w:rsidR="00324DC1" w:rsidRDefault="00324DC1" w:rsidP="00A158C6">
            <w:pPr>
              <w:spacing w:line="276" w:lineRule="auto"/>
              <w:jc w:val="both"/>
            </w:pPr>
            <w:r>
              <w:t xml:space="preserve">Colwell’s indices provide a measure of the seasonal predictability of flow events, and as such are a direct measure of temporal heterogeneity of flow patterns. </w:t>
            </w:r>
          </w:p>
          <w:p w14:paraId="20E70ED5" w14:textId="77777777" w:rsidR="00324DC1" w:rsidRDefault="00324DC1" w:rsidP="00A158C6">
            <w:pPr>
              <w:spacing w:line="276" w:lineRule="auto"/>
              <w:jc w:val="both"/>
            </w:pPr>
            <w:r>
              <w:rPr>
                <w:iCs/>
              </w:rPr>
              <w:t>Constancy</w:t>
            </w:r>
            <w:r>
              <w:t xml:space="preserve"> (C) measures uniformity of flow across seasons, and is maximised when flow conditions do not differ between seasons. </w:t>
            </w:r>
            <w:r>
              <w:rPr>
                <w:iCs/>
              </w:rPr>
              <w:t>Contingency (M)</w:t>
            </w:r>
            <w:r>
              <w:t xml:space="preserve"> is a measure of interannual uniformity in seasonal flow patterns, and is maximized when seasonal patterns of flow are consistent between years.  We generated Colwell’s indices for both minimum and maximum flows conditions.</w:t>
            </w:r>
          </w:p>
        </w:tc>
      </w:tr>
      <w:tr w:rsidR="00324DC1" w14:paraId="3FD159D5" w14:textId="77777777" w:rsidTr="00A158C6">
        <w:tc>
          <w:tcPr>
            <w:tcW w:w="2203" w:type="dxa"/>
            <w:tcBorders>
              <w:top w:val="nil"/>
              <w:left w:val="nil"/>
              <w:bottom w:val="nil"/>
              <w:right w:val="nil"/>
            </w:tcBorders>
            <w:hideMark/>
          </w:tcPr>
          <w:p w14:paraId="77A25B33" w14:textId="77777777" w:rsidR="00324DC1" w:rsidRDefault="00324DC1" w:rsidP="00A158C6">
            <w:pPr>
              <w:spacing w:line="276" w:lineRule="auto"/>
            </w:pPr>
            <w:r>
              <w:t xml:space="preserve">Contingency of monthly minimum daily flow </w:t>
            </w:r>
          </w:p>
        </w:tc>
        <w:tc>
          <w:tcPr>
            <w:tcW w:w="1902" w:type="dxa"/>
            <w:tcBorders>
              <w:top w:val="nil"/>
              <w:left w:val="nil"/>
              <w:bottom w:val="nil"/>
              <w:right w:val="nil"/>
            </w:tcBorders>
            <w:hideMark/>
          </w:tcPr>
          <w:p w14:paraId="2A91B3A8" w14:textId="77777777" w:rsidR="00324DC1" w:rsidRDefault="00324DC1" w:rsidP="00A158C6">
            <w:pPr>
              <w:spacing w:line="276" w:lineRule="auto"/>
            </w:pPr>
            <w:r>
              <w:t>M_MinM</w:t>
            </w:r>
          </w:p>
        </w:tc>
        <w:tc>
          <w:tcPr>
            <w:tcW w:w="1559" w:type="dxa"/>
            <w:tcBorders>
              <w:top w:val="nil"/>
              <w:left w:val="nil"/>
              <w:bottom w:val="nil"/>
              <w:right w:val="nil"/>
            </w:tcBorders>
            <w:hideMark/>
          </w:tcPr>
          <w:p w14:paraId="32A5FEE3" w14:textId="27F0E2B9" w:rsidR="00324DC1" w:rsidRDefault="00FF6B5C" w:rsidP="00A158C6">
            <w:pPr>
              <w:spacing w:line="276" w:lineRule="auto"/>
            </w:pPr>
            <w:r>
              <w:t>d</w:t>
            </w:r>
            <w:r w:rsidR="00324DC1">
              <w:t>imensionless</w:t>
            </w:r>
          </w:p>
        </w:tc>
        <w:tc>
          <w:tcPr>
            <w:tcW w:w="3351" w:type="dxa"/>
            <w:vMerge/>
            <w:tcBorders>
              <w:top w:val="single" w:sz="4" w:space="0" w:color="auto"/>
              <w:left w:val="nil"/>
              <w:bottom w:val="single" w:sz="4" w:space="0" w:color="auto"/>
              <w:right w:val="nil"/>
            </w:tcBorders>
            <w:vAlign w:val="center"/>
            <w:hideMark/>
          </w:tcPr>
          <w:p w14:paraId="25300F8D" w14:textId="77777777" w:rsidR="00324DC1" w:rsidRDefault="00324DC1" w:rsidP="00A158C6">
            <w:pPr>
              <w:spacing w:after="0" w:line="276" w:lineRule="auto"/>
              <w:jc w:val="both"/>
            </w:pPr>
          </w:p>
        </w:tc>
      </w:tr>
      <w:tr w:rsidR="00324DC1" w14:paraId="42180914" w14:textId="77777777" w:rsidTr="00A158C6">
        <w:tc>
          <w:tcPr>
            <w:tcW w:w="2203" w:type="dxa"/>
            <w:tcBorders>
              <w:top w:val="nil"/>
              <w:left w:val="nil"/>
              <w:bottom w:val="nil"/>
              <w:right w:val="nil"/>
            </w:tcBorders>
            <w:hideMark/>
          </w:tcPr>
          <w:p w14:paraId="5D701067" w14:textId="77777777" w:rsidR="00324DC1" w:rsidRDefault="00324DC1" w:rsidP="00A158C6">
            <w:pPr>
              <w:spacing w:line="276" w:lineRule="auto"/>
            </w:pPr>
            <w:r>
              <w:t>Constancy based on monthly maximum daily flow</w:t>
            </w:r>
          </w:p>
        </w:tc>
        <w:tc>
          <w:tcPr>
            <w:tcW w:w="1902" w:type="dxa"/>
            <w:tcBorders>
              <w:top w:val="nil"/>
              <w:left w:val="nil"/>
              <w:bottom w:val="nil"/>
              <w:right w:val="nil"/>
            </w:tcBorders>
            <w:hideMark/>
          </w:tcPr>
          <w:p w14:paraId="2F3218F5" w14:textId="77777777" w:rsidR="00324DC1" w:rsidRDefault="00324DC1" w:rsidP="00A158C6">
            <w:pPr>
              <w:spacing w:line="276" w:lineRule="auto"/>
            </w:pPr>
            <w:r>
              <w:t>C_MaxM</w:t>
            </w:r>
          </w:p>
        </w:tc>
        <w:tc>
          <w:tcPr>
            <w:tcW w:w="1559" w:type="dxa"/>
            <w:tcBorders>
              <w:top w:val="nil"/>
              <w:left w:val="nil"/>
              <w:bottom w:val="nil"/>
              <w:right w:val="nil"/>
            </w:tcBorders>
            <w:hideMark/>
          </w:tcPr>
          <w:p w14:paraId="2FF44B2B" w14:textId="4A89115B" w:rsidR="00324DC1" w:rsidRDefault="00FF6B5C" w:rsidP="00A158C6">
            <w:pPr>
              <w:spacing w:line="276" w:lineRule="auto"/>
            </w:pPr>
            <w:r>
              <w:t>d</w:t>
            </w:r>
            <w:r w:rsidR="00324DC1">
              <w:t>imensionless</w:t>
            </w:r>
          </w:p>
        </w:tc>
        <w:tc>
          <w:tcPr>
            <w:tcW w:w="3351" w:type="dxa"/>
            <w:vMerge/>
            <w:tcBorders>
              <w:top w:val="single" w:sz="4" w:space="0" w:color="auto"/>
              <w:left w:val="nil"/>
              <w:bottom w:val="single" w:sz="4" w:space="0" w:color="auto"/>
              <w:right w:val="nil"/>
            </w:tcBorders>
            <w:vAlign w:val="center"/>
            <w:hideMark/>
          </w:tcPr>
          <w:p w14:paraId="49F47422" w14:textId="77777777" w:rsidR="00324DC1" w:rsidRDefault="00324DC1" w:rsidP="00A158C6">
            <w:pPr>
              <w:spacing w:after="0" w:line="276" w:lineRule="auto"/>
              <w:jc w:val="both"/>
            </w:pPr>
          </w:p>
        </w:tc>
      </w:tr>
      <w:tr w:rsidR="00324DC1" w14:paraId="465ABFBE" w14:textId="77777777" w:rsidTr="00A158C6">
        <w:tc>
          <w:tcPr>
            <w:tcW w:w="2203" w:type="dxa"/>
            <w:tcBorders>
              <w:top w:val="nil"/>
              <w:left w:val="nil"/>
              <w:bottom w:val="single" w:sz="4" w:space="0" w:color="auto"/>
              <w:right w:val="nil"/>
            </w:tcBorders>
            <w:hideMark/>
          </w:tcPr>
          <w:p w14:paraId="2F211E1B" w14:textId="77777777" w:rsidR="00324DC1" w:rsidRDefault="00324DC1" w:rsidP="00A158C6">
            <w:pPr>
              <w:spacing w:line="276" w:lineRule="auto"/>
            </w:pPr>
            <w:r>
              <w:t xml:space="preserve">Contingency based on monthly maximum daily flow </w:t>
            </w:r>
          </w:p>
        </w:tc>
        <w:tc>
          <w:tcPr>
            <w:tcW w:w="1902" w:type="dxa"/>
            <w:tcBorders>
              <w:top w:val="nil"/>
              <w:left w:val="nil"/>
              <w:bottom w:val="single" w:sz="4" w:space="0" w:color="auto"/>
              <w:right w:val="nil"/>
            </w:tcBorders>
            <w:hideMark/>
          </w:tcPr>
          <w:p w14:paraId="248CC37C" w14:textId="77777777" w:rsidR="00324DC1" w:rsidRDefault="00324DC1" w:rsidP="00A158C6">
            <w:pPr>
              <w:spacing w:line="276" w:lineRule="auto"/>
            </w:pPr>
            <w:r>
              <w:t>M_MaxM</w:t>
            </w:r>
          </w:p>
        </w:tc>
        <w:tc>
          <w:tcPr>
            <w:tcW w:w="1559" w:type="dxa"/>
            <w:tcBorders>
              <w:top w:val="nil"/>
              <w:left w:val="nil"/>
              <w:bottom w:val="single" w:sz="4" w:space="0" w:color="auto"/>
              <w:right w:val="nil"/>
            </w:tcBorders>
            <w:hideMark/>
          </w:tcPr>
          <w:p w14:paraId="47341F13" w14:textId="77777777" w:rsidR="00324DC1" w:rsidRDefault="00324DC1" w:rsidP="00A158C6">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3598EA21" w14:textId="77777777" w:rsidR="00324DC1" w:rsidRDefault="00324DC1" w:rsidP="00A158C6">
            <w:pPr>
              <w:spacing w:after="0" w:line="276" w:lineRule="auto"/>
              <w:jc w:val="both"/>
            </w:pPr>
          </w:p>
        </w:tc>
      </w:tr>
      <w:tr w:rsidR="00324DC1" w14:paraId="568BE8E2" w14:textId="77777777" w:rsidTr="00A158C6">
        <w:tc>
          <w:tcPr>
            <w:tcW w:w="9015" w:type="dxa"/>
            <w:gridSpan w:val="4"/>
            <w:tcBorders>
              <w:top w:val="single" w:sz="4" w:space="0" w:color="auto"/>
              <w:left w:val="nil"/>
              <w:bottom w:val="single" w:sz="4" w:space="0" w:color="auto"/>
              <w:right w:val="nil"/>
            </w:tcBorders>
            <w:hideMark/>
          </w:tcPr>
          <w:p w14:paraId="227AA801" w14:textId="77777777" w:rsidR="00324DC1" w:rsidRDefault="00324DC1" w:rsidP="00A158C6">
            <w:pPr>
              <w:spacing w:line="276" w:lineRule="auto"/>
              <w:jc w:val="both"/>
              <w:rPr>
                <w:i/>
              </w:rPr>
            </w:pPr>
            <w:r>
              <w:rPr>
                <w:i/>
              </w:rPr>
              <w:t xml:space="preserve">Flow seasonality </w:t>
            </w:r>
          </w:p>
        </w:tc>
      </w:tr>
      <w:tr w:rsidR="00324DC1" w14:paraId="50E4AF99" w14:textId="77777777" w:rsidTr="00A158C6">
        <w:tc>
          <w:tcPr>
            <w:tcW w:w="2203" w:type="dxa"/>
            <w:tcBorders>
              <w:top w:val="single" w:sz="4" w:space="0" w:color="auto"/>
              <w:left w:val="nil"/>
              <w:bottom w:val="nil"/>
              <w:right w:val="nil"/>
            </w:tcBorders>
          </w:tcPr>
          <w:p w14:paraId="5071FA9F" w14:textId="77777777" w:rsidR="00324DC1" w:rsidRDefault="00324DC1" w:rsidP="00A158C6">
            <w:pPr>
              <w:spacing w:line="276" w:lineRule="auto"/>
              <w:jc w:val="both"/>
            </w:pPr>
            <w:r>
              <w:t>Average mean daily dry season flow *</w:t>
            </w:r>
          </w:p>
          <w:p w14:paraId="3FA87B68" w14:textId="77777777" w:rsidR="00324DC1" w:rsidRPr="00094B3C" w:rsidRDefault="00324DC1" w:rsidP="00A158C6">
            <w:pPr>
              <w:spacing w:line="276" w:lineRule="auto"/>
            </w:pPr>
            <w:r>
              <w:t>Average mean daily wet season flow *</w:t>
            </w:r>
          </w:p>
        </w:tc>
        <w:tc>
          <w:tcPr>
            <w:tcW w:w="1902" w:type="dxa"/>
            <w:tcBorders>
              <w:top w:val="single" w:sz="4" w:space="0" w:color="auto"/>
              <w:left w:val="nil"/>
              <w:bottom w:val="nil"/>
              <w:right w:val="nil"/>
            </w:tcBorders>
          </w:tcPr>
          <w:p w14:paraId="3D930FDC" w14:textId="77777777" w:rsidR="00324DC1" w:rsidRDefault="00324DC1" w:rsidP="00A158C6">
            <w:pPr>
              <w:spacing w:line="276" w:lineRule="auto"/>
              <w:jc w:val="both"/>
            </w:pPr>
            <w:r>
              <w:t>MDFMDFDry</w:t>
            </w:r>
          </w:p>
          <w:p w14:paraId="4DD444E9" w14:textId="77777777" w:rsidR="00324DC1" w:rsidRDefault="00324DC1" w:rsidP="00A158C6">
            <w:pPr>
              <w:spacing w:line="276" w:lineRule="auto"/>
              <w:jc w:val="both"/>
            </w:pPr>
          </w:p>
          <w:p w14:paraId="63647E40" w14:textId="77777777" w:rsidR="00324DC1" w:rsidRPr="00094B3C" w:rsidRDefault="00324DC1" w:rsidP="00A158C6">
            <w:pPr>
              <w:spacing w:line="276" w:lineRule="auto"/>
            </w:pPr>
            <w:r>
              <w:t>MDFMDFWet</w:t>
            </w:r>
          </w:p>
        </w:tc>
        <w:tc>
          <w:tcPr>
            <w:tcW w:w="1559" w:type="dxa"/>
            <w:tcBorders>
              <w:top w:val="single" w:sz="4" w:space="0" w:color="auto"/>
              <w:left w:val="nil"/>
              <w:bottom w:val="nil"/>
              <w:right w:val="nil"/>
            </w:tcBorders>
          </w:tcPr>
          <w:p w14:paraId="214C54C3" w14:textId="77777777" w:rsidR="00324DC1" w:rsidRDefault="00324DC1" w:rsidP="00A158C6">
            <w:pPr>
              <w:spacing w:line="276" w:lineRule="auto"/>
              <w:jc w:val="both"/>
            </w:pPr>
            <w:r>
              <w:t>dimensionless</w:t>
            </w:r>
          </w:p>
          <w:p w14:paraId="085C8BD1" w14:textId="77777777" w:rsidR="00324DC1" w:rsidRDefault="00324DC1" w:rsidP="00A158C6">
            <w:pPr>
              <w:spacing w:line="276" w:lineRule="auto"/>
              <w:jc w:val="both"/>
            </w:pPr>
          </w:p>
          <w:p w14:paraId="616C95A2" w14:textId="77777777" w:rsidR="00324DC1" w:rsidRPr="00094B3C" w:rsidRDefault="00324DC1" w:rsidP="00A158C6">
            <w:pPr>
              <w:spacing w:line="276" w:lineRule="auto"/>
            </w:pPr>
            <w:r>
              <w:t>dimensionless</w:t>
            </w:r>
          </w:p>
        </w:tc>
        <w:tc>
          <w:tcPr>
            <w:tcW w:w="3351" w:type="dxa"/>
            <w:vMerge w:val="restart"/>
            <w:tcBorders>
              <w:top w:val="single" w:sz="4" w:space="0" w:color="auto"/>
              <w:left w:val="nil"/>
              <w:bottom w:val="nil"/>
              <w:right w:val="nil"/>
            </w:tcBorders>
            <w:hideMark/>
          </w:tcPr>
          <w:p w14:paraId="1DB55759" w14:textId="77777777" w:rsidR="00324DC1" w:rsidRDefault="00324DC1" w:rsidP="00A158C6">
            <w:pPr>
              <w:spacing w:line="276" w:lineRule="auto"/>
              <w:jc w:val="both"/>
            </w:pPr>
            <w:r>
              <w:t xml:space="preserve">These metrics describe the average magnitude and temporal variability in mean daily flows for each season (dry = May to October, wet = November to </w:t>
            </w:r>
            <w:r>
              <w:lastRenderedPageBreak/>
              <w:t>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324DC1" w14:paraId="3EB51E8C" w14:textId="77777777" w:rsidTr="00A158C6">
        <w:trPr>
          <w:trHeight w:val="1941"/>
        </w:trPr>
        <w:tc>
          <w:tcPr>
            <w:tcW w:w="2203" w:type="dxa"/>
            <w:tcBorders>
              <w:top w:val="nil"/>
              <w:left w:val="nil"/>
              <w:bottom w:val="single" w:sz="4" w:space="0" w:color="auto"/>
              <w:right w:val="nil"/>
            </w:tcBorders>
            <w:hideMark/>
          </w:tcPr>
          <w:p w14:paraId="7031583F" w14:textId="77777777" w:rsidR="00324DC1" w:rsidRDefault="00324DC1" w:rsidP="00A158C6">
            <w:pPr>
              <w:spacing w:line="276" w:lineRule="auto"/>
              <w:jc w:val="both"/>
            </w:pPr>
            <w:r>
              <w:lastRenderedPageBreak/>
              <w:t>CV of mean daily dry season flow</w:t>
            </w:r>
          </w:p>
          <w:p w14:paraId="301356A8" w14:textId="77777777" w:rsidR="00324DC1" w:rsidRDefault="00324DC1" w:rsidP="00A158C6">
            <w:pPr>
              <w:spacing w:line="276" w:lineRule="auto"/>
              <w:jc w:val="both"/>
            </w:pPr>
            <w:r>
              <w:t>CV of mean daily dry season flow</w:t>
            </w:r>
          </w:p>
        </w:tc>
        <w:tc>
          <w:tcPr>
            <w:tcW w:w="1902" w:type="dxa"/>
            <w:tcBorders>
              <w:top w:val="nil"/>
              <w:left w:val="nil"/>
              <w:bottom w:val="single" w:sz="4" w:space="0" w:color="auto"/>
              <w:right w:val="nil"/>
            </w:tcBorders>
          </w:tcPr>
          <w:p w14:paraId="70F048EA" w14:textId="77777777" w:rsidR="00324DC1" w:rsidRDefault="00324DC1" w:rsidP="00A158C6">
            <w:pPr>
              <w:spacing w:line="276" w:lineRule="auto"/>
              <w:jc w:val="both"/>
            </w:pPr>
            <w:r>
              <w:t>CVMDFDry</w:t>
            </w:r>
          </w:p>
          <w:p w14:paraId="4D2A29B3" w14:textId="77777777" w:rsidR="00324DC1" w:rsidRDefault="00324DC1" w:rsidP="00A158C6">
            <w:pPr>
              <w:spacing w:line="276" w:lineRule="auto"/>
              <w:jc w:val="both"/>
            </w:pPr>
          </w:p>
          <w:p w14:paraId="658E990F" w14:textId="77777777" w:rsidR="00324DC1" w:rsidRDefault="00324DC1" w:rsidP="00A158C6">
            <w:pPr>
              <w:spacing w:line="276" w:lineRule="auto"/>
              <w:jc w:val="both"/>
            </w:pPr>
            <w:r>
              <w:t>CVMDFWet</w:t>
            </w:r>
          </w:p>
        </w:tc>
        <w:tc>
          <w:tcPr>
            <w:tcW w:w="1559" w:type="dxa"/>
            <w:tcBorders>
              <w:top w:val="nil"/>
              <w:left w:val="nil"/>
              <w:bottom w:val="single" w:sz="4" w:space="0" w:color="auto"/>
              <w:right w:val="nil"/>
            </w:tcBorders>
          </w:tcPr>
          <w:p w14:paraId="2A92B6E8" w14:textId="77777777" w:rsidR="00324DC1" w:rsidRDefault="00324DC1" w:rsidP="00A158C6">
            <w:pPr>
              <w:spacing w:line="276" w:lineRule="auto"/>
              <w:jc w:val="both"/>
            </w:pPr>
            <w:r>
              <w:t>dimensionless</w:t>
            </w:r>
          </w:p>
          <w:p w14:paraId="597FAFAE" w14:textId="77777777" w:rsidR="00324DC1" w:rsidRDefault="00324DC1" w:rsidP="00A158C6">
            <w:pPr>
              <w:spacing w:line="276" w:lineRule="auto"/>
              <w:jc w:val="both"/>
            </w:pPr>
          </w:p>
          <w:p w14:paraId="12839868" w14:textId="77777777" w:rsidR="00324DC1" w:rsidRDefault="00324DC1" w:rsidP="00A158C6">
            <w:pPr>
              <w:spacing w:line="276" w:lineRule="auto"/>
              <w:jc w:val="both"/>
            </w:pPr>
            <w:r>
              <w:t>dimensionless</w:t>
            </w:r>
          </w:p>
        </w:tc>
        <w:tc>
          <w:tcPr>
            <w:tcW w:w="3351" w:type="dxa"/>
            <w:vMerge/>
            <w:tcBorders>
              <w:top w:val="nil"/>
              <w:left w:val="nil"/>
              <w:bottom w:val="single" w:sz="4" w:space="0" w:color="auto"/>
              <w:right w:val="nil"/>
            </w:tcBorders>
            <w:vAlign w:val="center"/>
            <w:hideMark/>
          </w:tcPr>
          <w:p w14:paraId="5D7A7A5D" w14:textId="77777777" w:rsidR="00324DC1" w:rsidRDefault="00324DC1" w:rsidP="00A158C6">
            <w:pPr>
              <w:spacing w:after="0" w:line="276" w:lineRule="auto"/>
            </w:pPr>
          </w:p>
        </w:tc>
      </w:tr>
    </w:tbl>
    <w:p w14:paraId="4561B5C1" w14:textId="77777777" w:rsidR="00324DC1" w:rsidRDefault="00324DC1" w:rsidP="00324DC1">
      <w:pPr>
        <w:spacing w:line="360" w:lineRule="auto"/>
      </w:pPr>
    </w:p>
    <w:p w14:paraId="1B35D7CF" w14:textId="77777777" w:rsidR="00324DC1" w:rsidRDefault="00324DC1" w:rsidP="004425F9">
      <w:pPr>
        <w:spacing w:line="360" w:lineRule="auto"/>
      </w:pPr>
    </w:p>
    <w:p w14:paraId="50867F3C" w14:textId="77777777" w:rsidR="00324DC1" w:rsidRDefault="00324DC1" w:rsidP="004425F9">
      <w:pPr>
        <w:spacing w:line="360" w:lineRule="auto"/>
      </w:pPr>
    </w:p>
    <w:p w14:paraId="52CBFDA2" w14:textId="77777777" w:rsidR="00324DC1" w:rsidRDefault="00324DC1" w:rsidP="004425F9">
      <w:pPr>
        <w:spacing w:line="360" w:lineRule="auto"/>
      </w:pPr>
    </w:p>
    <w:p w14:paraId="76CE0BB6" w14:textId="77777777" w:rsidR="00324DC1" w:rsidRDefault="00324DC1" w:rsidP="004425F9">
      <w:pPr>
        <w:spacing w:line="360" w:lineRule="auto"/>
      </w:pPr>
    </w:p>
    <w:p w14:paraId="59A4397B" w14:textId="77777777" w:rsidR="00324DC1" w:rsidRDefault="00324DC1" w:rsidP="004425F9">
      <w:pPr>
        <w:spacing w:line="360" w:lineRule="auto"/>
      </w:pPr>
    </w:p>
    <w:p w14:paraId="0C3E00F9" w14:textId="77777777" w:rsidR="00324DC1" w:rsidRDefault="00324DC1" w:rsidP="004425F9">
      <w:pPr>
        <w:spacing w:line="360" w:lineRule="auto"/>
      </w:pPr>
    </w:p>
    <w:p w14:paraId="41B80967" w14:textId="77777777" w:rsidR="00324DC1" w:rsidRDefault="00324DC1" w:rsidP="004425F9">
      <w:pPr>
        <w:spacing w:line="360" w:lineRule="auto"/>
      </w:pPr>
    </w:p>
    <w:p w14:paraId="4C4D900E" w14:textId="77777777" w:rsidR="00324DC1" w:rsidRDefault="00324DC1" w:rsidP="004425F9">
      <w:pPr>
        <w:spacing w:line="360" w:lineRule="auto"/>
      </w:pPr>
    </w:p>
    <w:p w14:paraId="569C488B" w14:textId="77777777" w:rsidR="00324DC1" w:rsidRDefault="00324DC1" w:rsidP="004425F9">
      <w:pPr>
        <w:spacing w:line="360" w:lineRule="auto"/>
      </w:pPr>
    </w:p>
    <w:p w14:paraId="4497E612" w14:textId="77777777" w:rsidR="00324DC1" w:rsidRDefault="00324DC1" w:rsidP="004425F9">
      <w:pPr>
        <w:spacing w:line="360" w:lineRule="auto"/>
      </w:pPr>
    </w:p>
    <w:p w14:paraId="126217C2" w14:textId="77777777" w:rsidR="00324DC1" w:rsidRDefault="00324DC1" w:rsidP="004425F9">
      <w:pPr>
        <w:spacing w:line="360" w:lineRule="auto"/>
      </w:pPr>
    </w:p>
    <w:p w14:paraId="5836316F" w14:textId="77777777" w:rsidR="00324DC1" w:rsidRDefault="00324DC1" w:rsidP="004425F9">
      <w:pPr>
        <w:spacing w:line="360" w:lineRule="auto"/>
      </w:pPr>
    </w:p>
    <w:p w14:paraId="321365DD" w14:textId="77777777" w:rsidR="00324DC1" w:rsidRDefault="00324DC1" w:rsidP="004425F9">
      <w:pPr>
        <w:spacing w:line="360" w:lineRule="auto"/>
      </w:pPr>
    </w:p>
    <w:p w14:paraId="2D379066" w14:textId="77777777" w:rsidR="00324DC1" w:rsidRDefault="00324DC1" w:rsidP="004425F9">
      <w:pPr>
        <w:spacing w:line="360" w:lineRule="auto"/>
      </w:pPr>
    </w:p>
    <w:p w14:paraId="47AB6CF9" w14:textId="77777777" w:rsidR="00324DC1" w:rsidRDefault="00324DC1" w:rsidP="004425F9">
      <w:pPr>
        <w:spacing w:line="360" w:lineRule="auto"/>
      </w:pPr>
    </w:p>
    <w:p w14:paraId="16807715" w14:textId="77777777" w:rsidR="00324DC1" w:rsidRDefault="00324DC1" w:rsidP="004425F9">
      <w:pPr>
        <w:spacing w:line="360" w:lineRule="auto"/>
      </w:pPr>
    </w:p>
    <w:p w14:paraId="59652650" w14:textId="77777777" w:rsidR="00324DC1" w:rsidRDefault="00324DC1" w:rsidP="004425F9">
      <w:pPr>
        <w:spacing w:line="360" w:lineRule="auto"/>
      </w:pPr>
    </w:p>
    <w:p w14:paraId="187BA20F" w14:textId="77777777" w:rsidR="00324DC1" w:rsidRDefault="00324DC1" w:rsidP="004425F9">
      <w:pPr>
        <w:spacing w:line="360" w:lineRule="auto"/>
      </w:pPr>
    </w:p>
    <w:p w14:paraId="5A04C881" w14:textId="77777777" w:rsidR="00324DC1" w:rsidRDefault="00324DC1" w:rsidP="004425F9">
      <w:pPr>
        <w:spacing w:line="360" w:lineRule="auto"/>
      </w:pPr>
    </w:p>
    <w:p w14:paraId="54458CFE" w14:textId="77777777" w:rsidR="00324DC1" w:rsidRDefault="00324DC1" w:rsidP="002C14F5">
      <w:pPr>
        <w:pStyle w:val="Caption"/>
        <w:keepNext/>
        <w:spacing w:line="276" w:lineRule="auto"/>
        <w:jc w:val="both"/>
        <w:rPr>
          <w:sz w:val="22"/>
          <w:szCs w:val="22"/>
        </w:rPr>
      </w:pPr>
      <w:r>
        <w:rPr>
          <w:sz w:val="22"/>
          <w:szCs w:val="22"/>
        </w:rPr>
        <w:lastRenderedPageBreak/>
        <w:t xml:space="preserve">Table 2. Rationale for selection of functional response and effect traits as descriptors of riparian plant community functional diversity. </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324DC1" w14:paraId="063A5AE3" w14:textId="77777777" w:rsidTr="00A158C6">
        <w:tc>
          <w:tcPr>
            <w:tcW w:w="2254" w:type="dxa"/>
            <w:shd w:val="clear" w:color="auto" w:fill="auto"/>
            <w:hideMark/>
          </w:tcPr>
          <w:p w14:paraId="0B3ED8B3" w14:textId="77777777" w:rsidR="00324DC1" w:rsidRDefault="00324DC1" w:rsidP="00A158C6">
            <w:pPr>
              <w:spacing w:line="276" w:lineRule="auto"/>
              <w:rPr>
                <w:b/>
              </w:rPr>
            </w:pPr>
            <w:r>
              <w:rPr>
                <w:b/>
              </w:rPr>
              <w:t>Trait</w:t>
            </w:r>
          </w:p>
        </w:tc>
        <w:tc>
          <w:tcPr>
            <w:tcW w:w="2254" w:type="dxa"/>
            <w:shd w:val="clear" w:color="auto" w:fill="auto"/>
            <w:hideMark/>
          </w:tcPr>
          <w:p w14:paraId="050BF823" w14:textId="77777777" w:rsidR="00324DC1" w:rsidRDefault="00324DC1" w:rsidP="00A158C6">
            <w:pPr>
              <w:spacing w:line="276" w:lineRule="auto"/>
              <w:rPr>
                <w:b/>
              </w:rPr>
            </w:pPr>
            <w:r>
              <w:rPr>
                <w:b/>
              </w:rPr>
              <w:t>Definition</w:t>
            </w:r>
          </w:p>
        </w:tc>
        <w:tc>
          <w:tcPr>
            <w:tcW w:w="2254" w:type="dxa"/>
            <w:shd w:val="clear" w:color="auto" w:fill="auto"/>
            <w:hideMark/>
          </w:tcPr>
          <w:p w14:paraId="373B1787" w14:textId="77777777" w:rsidR="00324DC1" w:rsidRDefault="00324DC1" w:rsidP="00A158C6">
            <w:pPr>
              <w:spacing w:line="276" w:lineRule="auto"/>
              <w:rPr>
                <w:b/>
              </w:rPr>
            </w:pPr>
            <w:r>
              <w:rPr>
                <w:b/>
              </w:rPr>
              <w:t>Functional responses &amp; inherent trade-offs</w:t>
            </w:r>
          </w:p>
        </w:tc>
        <w:tc>
          <w:tcPr>
            <w:tcW w:w="2254" w:type="dxa"/>
            <w:shd w:val="clear" w:color="auto" w:fill="auto"/>
            <w:hideMark/>
          </w:tcPr>
          <w:p w14:paraId="71027473" w14:textId="77777777" w:rsidR="00324DC1" w:rsidRDefault="00324DC1" w:rsidP="00A158C6">
            <w:pPr>
              <w:spacing w:line="276" w:lineRule="auto"/>
              <w:rPr>
                <w:b/>
              </w:rPr>
            </w:pPr>
            <w:r>
              <w:rPr>
                <w:b/>
              </w:rPr>
              <w:t>Functional effects</w:t>
            </w:r>
          </w:p>
        </w:tc>
      </w:tr>
      <w:tr w:rsidR="00324DC1" w14:paraId="42F4361B" w14:textId="77777777" w:rsidTr="00A158C6">
        <w:tc>
          <w:tcPr>
            <w:tcW w:w="2254" w:type="dxa"/>
            <w:shd w:val="clear" w:color="auto" w:fill="auto"/>
            <w:hideMark/>
          </w:tcPr>
          <w:p w14:paraId="07BD7ABA" w14:textId="77777777" w:rsidR="00324DC1" w:rsidRDefault="00324DC1" w:rsidP="00A158C6">
            <w:pPr>
              <w:spacing w:line="276" w:lineRule="auto"/>
              <w:rPr>
                <w:i/>
              </w:rPr>
            </w:pPr>
            <w:r>
              <w:rPr>
                <w:i/>
              </w:rPr>
              <w:t>Growth form</w:t>
            </w:r>
          </w:p>
        </w:tc>
        <w:tc>
          <w:tcPr>
            <w:tcW w:w="2254" w:type="dxa"/>
            <w:shd w:val="clear" w:color="auto" w:fill="auto"/>
            <w:hideMark/>
          </w:tcPr>
          <w:p w14:paraId="0B19F742" w14:textId="77777777" w:rsidR="00324DC1" w:rsidRDefault="00324DC1" w:rsidP="00A158C6">
            <w:pPr>
              <w:spacing w:line="276" w:lineRule="auto"/>
              <w:rPr>
                <w:rFonts w:eastAsia="Times New Roman" w:cs="Arial"/>
                <w:lang w:eastAsia="en-AU"/>
              </w:rPr>
            </w:pPr>
            <w:r>
              <w:rPr>
                <w:rFonts w:eastAsia="Times New Roman" w:cs="Arial"/>
                <w:lang w:eastAsia="en-AU"/>
              </w:rPr>
              <w:t>Categorical description of morphology: tree, shrub, woody climber, herbaceous climber, graminoid, herb.</w:t>
            </w:r>
          </w:p>
        </w:tc>
        <w:tc>
          <w:tcPr>
            <w:tcW w:w="2254" w:type="dxa"/>
            <w:shd w:val="clear" w:color="auto" w:fill="auto"/>
            <w:hideMark/>
          </w:tcPr>
          <w:p w14:paraId="7E2F4F9A" w14:textId="77777777" w:rsidR="00324DC1" w:rsidRDefault="00324DC1" w:rsidP="00A158C6">
            <w:pPr>
              <w:spacing w:line="276" w:lineRule="auto"/>
            </w:pPr>
            <w:r>
              <w:t xml:space="preserve">Differential responses to mechanical and biochemical stresses associated caused by flooding; different strategies for coping with drought and heat stress. </w:t>
            </w:r>
          </w:p>
        </w:tc>
        <w:tc>
          <w:tcPr>
            <w:tcW w:w="2254" w:type="dxa"/>
            <w:shd w:val="clear" w:color="auto" w:fill="auto"/>
            <w:hideMark/>
          </w:tcPr>
          <w:p w14:paraId="780DC2B9" w14:textId="77777777" w:rsidR="00324DC1" w:rsidRDefault="00324DC1" w:rsidP="00A158C6">
            <w:pPr>
              <w:spacing w:line="276" w:lineRule="auto"/>
            </w:pPr>
            <w:r>
              <w:t>Differential biogeomorphic effects on fluvial landform cohesion and sediment deposition.</w:t>
            </w:r>
          </w:p>
        </w:tc>
      </w:tr>
      <w:tr w:rsidR="00324DC1" w14:paraId="7E90E936" w14:textId="77777777" w:rsidTr="00A158C6">
        <w:tc>
          <w:tcPr>
            <w:tcW w:w="2254" w:type="dxa"/>
            <w:shd w:val="clear" w:color="auto" w:fill="auto"/>
            <w:hideMark/>
          </w:tcPr>
          <w:p w14:paraId="2DCC903D" w14:textId="77777777" w:rsidR="00324DC1" w:rsidRDefault="00324DC1" w:rsidP="00A158C6">
            <w:pPr>
              <w:spacing w:line="276" w:lineRule="auto"/>
              <w:rPr>
                <w:i/>
              </w:rPr>
            </w:pPr>
            <w:r>
              <w:rPr>
                <w:i/>
              </w:rPr>
              <w:t>Specific leaf area (SLA)</w:t>
            </w:r>
          </w:p>
        </w:tc>
        <w:tc>
          <w:tcPr>
            <w:tcW w:w="2254" w:type="dxa"/>
            <w:shd w:val="clear" w:color="auto" w:fill="auto"/>
            <w:hideMark/>
          </w:tcPr>
          <w:p w14:paraId="1BC63341" w14:textId="77777777" w:rsidR="00324DC1" w:rsidRDefault="00324DC1" w:rsidP="00A158C6">
            <w:pPr>
              <w:spacing w:line="276" w:lineRule="auto"/>
              <w:rPr>
                <w:rFonts w:eastAsia="Times New Roman" w:cs="Arial"/>
                <w:lang w:eastAsia="en-AU"/>
              </w:rPr>
            </w:pPr>
            <w:r>
              <w:rPr>
                <w:rFonts w:eastAsia="Times New Roman" w:cs="Arial"/>
                <w:lang w:eastAsia="en-AU"/>
              </w:rPr>
              <w:t>Ratio of one-sided leaf area to oven dry mass (cm</w:t>
            </w:r>
            <w:r>
              <w:rPr>
                <w:rFonts w:eastAsia="Times New Roman" w:cs="Arial"/>
                <w:vertAlign w:val="superscript"/>
                <w:lang w:eastAsia="en-AU"/>
              </w:rPr>
              <w:t>2</w:t>
            </w:r>
            <w:r>
              <w:rPr>
                <w:rFonts w:eastAsia="Times New Roman" w:cs="Arial"/>
                <w:lang w:eastAsia="en-AU"/>
              </w:rPr>
              <w:t xml:space="preserve"> / g).</w:t>
            </w:r>
          </w:p>
        </w:tc>
        <w:tc>
          <w:tcPr>
            <w:tcW w:w="2254" w:type="dxa"/>
            <w:shd w:val="clear" w:color="auto" w:fill="auto"/>
            <w:hideMark/>
          </w:tcPr>
          <w:p w14:paraId="1DA8F5D8" w14:textId="77777777" w:rsidR="00324DC1" w:rsidRDefault="00324DC1" w:rsidP="00A158C6">
            <w:pPr>
              <w:spacing w:line="276" w:lineRule="auto"/>
            </w:pPr>
            <w:r>
              <w:t>SLA is associated with leaf construction cost, photosynthetic rate and carbon : nitrogen economics. Indicator of  ecological strategy under favourable vs. stressful conditions</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c>
          <w:tcPr>
            <w:tcW w:w="2254" w:type="dxa"/>
            <w:shd w:val="clear" w:color="auto" w:fill="auto"/>
            <w:hideMark/>
          </w:tcPr>
          <w:p w14:paraId="75EC1FE7" w14:textId="77777777" w:rsidR="00324DC1" w:rsidRDefault="00324DC1" w:rsidP="00A158C6">
            <w:pPr>
              <w:spacing w:line="276" w:lineRule="auto"/>
            </w:pPr>
            <w:r>
              <w:t xml:space="preserve">Affects ecosystem productivity and nutrient recycling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r>
      <w:tr w:rsidR="00324DC1" w14:paraId="65F2842B" w14:textId="77777777" w:rsidTr="00A158C6">
        <w:tc>
          <w:tcPr>
            <w:tcW w:w="2254" w:type="dxa"/>
            <w:shd w:val="clear" w:color="auto" w:fill="auto"/>
            <w:hideMark/>
          </w:tcPr>
          <w:p w14:paraId="184FA60B" w14:textId="77777777" w:rsidR="00324DC1" w:rsidRDefault="00324DC1" w:rsidP="00A158C6">
            <w:pPr>
              <w:spacing w:line="276" w:lineRule="auto"/>
              <w:rPr>
                <w:i/>
              </w:rPr>
            </w:pPr>
            <w:r>
              <w:rPr>
                <w:i/>
              </w:rPr>
              <w:t>Leaf area</w:t>
            </w:r>
          </w:p>
        </w:tc>
        <w:tc>
          <w:tcPr>
            <w:tcW w:w="2254" w:type="dxa"/>
            <w:shd w:val="clear" w:color="auto" w:fill="auto"/>
            <w:hideMark/>
          </w:tcPr>
          <w:p w14:paraId="42A1BD5A" w14:textId="77777777" w:rsidR="00324DC1" w:rsidRDefault="00324DC1" w:rsidP="00A158C6">
            <w:pPr>
              <w:spacing w:line="276" w:lineRule="auto"/>
              <w:rPr>
                <w:rFonts w:eastAsia="Times New Roman" w:cs="Arial"/>
                <w:lang w:eastAsia="en-AU"/>
              </w:rPr>
            </w:pPr>
            <w:r>
              <w:rPr>
                <w:rFonts w:eastAsia="Times New Roman" w:cs="Arial"/>
                <w:lang w:eastAsia="en-AU"/>
              </w:rPr>
              <w:t>One-sided leaf area (cm</w:t>
            </w:r>
            <w:r>
              <w:rPr>
                <w:rFonts w:eastAsia="Times New Roman" w:cs="Arial"/>
                <w:vertAlign w:val="superscript"/>
                <w:lang w:eastAsia="en-AU"/>
              </w:rPr>
              <w:t>2</w:t>
            </w:r>
            <w:r>
              <w:rPr>
                <w:rFonts w:eastAsia="Times New Roman" w:cs="Arial"/>
                <w:lang w:eastAsia="en-AU"/>
              </w:rPr>
              <w:t>).</w:t>
            </w:r>
          </w:p>
        </w:tc>
        <w:tc>
          <w:tcPr>
            <w:tcW w:w="2254" w:type="dxa"/>
            <w:shd w:val="clear" w:color="auto" w:fill="auto"/>
            <w:hideMark/>
          </w:tcPr>
          <w:p w14:paraId="51E9F8DD" w14:textId="77777777" w:rsidR="00324DC1" w:rsidRDefault="00324DC1" w:rsidP="00A158C6">
            <w:pPr>
              <w:spacing w:line="276" w:lineRule="auto"/>
            </w:pPr>
            <w:r>
              <w:t xml:space="preserve">Shade tolerance (larger leaves) vs. enhanced thermal regulation ability in hot, dry conditions (smaller leaves) </w:t>
            </w:r>
            <w:r>
              <w:fldChar w:fldCharType="begin" w:fldLock="1"/>
            </w:r>
            <w: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fldChar w:fldCharType="separate"/>
            </w:r>
            <w:r>
              <w:rPr>
                <w:noProof/>
              </w:rPr>
              <w:t xml:space="preserve">(Cornelissen </w:t>
            </w:r>
            <w:r>
              <w:rPr>
                <w:i/>
                <w:noProof/>
              </w:rPr>
              <w:t>et al.</w:t>
            </w:r>
            <w:r>
              <w:rPr>
                <w:noProof/>
              </w:rPr>
              <w:t xml:space="preserve"> 2003)</w:t>
            </w:r>
            <w:r>
              <w:fldChar w:fldCharType="end"/>
            </w:r>
            <w:r>
              <w:t xml:space="preserve">. </w:t>
            </w:r>
          </w:p>
        </w:tc>
        <w:tc>
          <w:tcPr>
            <w:tcW w:w="2254" w:type="dxa"/>
            <w:shd w:val="clear" w:color="auto" w:fill="auto"/>
            <w:hideMark/>
          </w:tcPr>
          <w:p w14:paraId="17FD27F4" w14:textId="77777777" w:rsidR="00324DC1" w:rsidRDefault="00324DC1" w:rsidP="00A158C6">
            <w:pPr>
              <w:spacing w:line="276" w:lineRule="auto"/>
            </w:pPr>
            <w:r>
              <w:t>May influence flow resistance of vegetation (and therefore fluvial erosion / deposition) when inundated.</w:t>
            </w:r>
          </w:p>
        </w:tc>
      </w:tr>
      <w:tr w:rsidR="00324DC1" w14:paraId="650A4C7C" w14:textId="77777777" w:rsidTr="00A158C6">
        <w:tc>
          <w:tcPr>
            <w:tcW w:w="2254" w:type="dxa"/>
            <w:shd w:val="clear" w:color="auto" w:fill="auto"/>
            <w:hideMark/>
          </w:tcPr>
          <w:p w14:paraId="23C55F3B" w14:textId="77777777" w:rsidR="00324DC1" w:rsidRDefault="00324DC1" w:rsidP="00A158C6">
            <w:pPr>
              <w:spacing w:line="276" w:lineRule="auto"/>
              <w:rPr>
                <w:i/>
              </w:rPr>
            </w:pPr>
            <w:r>
              <w:rPr>
                <w:i/>
              </w:rPr>
              <w:t>Maximum canopy height</w:t>
            </w:r>
          </w:p>
        </w:tc>
        <w:tc>
          <w:tcPr>
            <w:tcW w:w="2254" w:type="dxa"/>
            <w:shd w:val="clear" w:color="auto" w:fill="auto"/>
            <w:hideMark/>
          </w:tcPr>
          <w:p w14:paraId="65E32CB4" w14:textId="77777777" w:rsidR="00324DC1" w:rsidRDefault="00324DC1" w:rsidP="00A158C6">
            <w:pPr>
              <w:spacing w:line="276" w:lineRule="auto"/>
              <w:rPr>
                <w:rFonts w:eastAsia="Times New Roman" w:cs="Arial"/>
                <w:lang w:eastAsia="en-AU"/>
              </w:rPr>
            </w:pPr>
            <w:r>
              <w:rPr>
                <w:rFonts w:eastAsia="Times New Roman" w:cs="Arial"/>
                <w:lang w:eastAsia="en-AU"/>
              </w:rPr>
              <w:t>Height above ground of apical meristem (m).</w:t>
            </w:r>
          </w:p>
        </w:tc>
        <w:tc>
          <w:tcPr>
            <w:tcW w:w="2254" w:type="dxa"/>
            <w:shd w:val="clear" w:color="auto" w:fill="auto"/>
            <w:hideMark/>
          </w:tcPr>
          <w:p w14:paraId="5736E02A" w14:textId="77777777" w:rsidR="00324DC1" w:rsidRDefault="00324DC1" w:rsidP="00A158C6">
            <w:pPr>
              <w:spacing w:line="276" w:lineRule="auto"/>
            </w:pPr>
            <w:r>
              <w:t xml:space="preserve">Affects ability to tolerate mechanical disturbances such as flooding and maintain xylem integrity in dry conditions </w:t>
            </w:r>
            <w:r>
              <w:fldChar w:fldCharType="begin" w:fldLock="1"/>
            </w:r>
            <w:r>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fldChar w:fldCharType="separate"/>
            </w:r>
            <w:r>
              <w:rPr>
                <w:noProof/>
              </w:rPr>
              <w:t>(Westoby &amp; Wright 2006)</w:t>
            </w:r>
            <w:r>
              <w:fldChar w:fldCharType="end"/>
            </w:r>
            <w:r>
              <w:t>.</w:t>
            </w:r>
          </w:p>
        </w:tc>
        <w:tc>
          <w:tcPr>
            <w:tcW w:w="2254" w:type="dxa"/>
            <w:shd w:val="clear" w:color="auto" w:fill="auto"/>
            <w:hideMark/>
          </w:tcPr>
          <w:p w14:paraId="6F427EE0" w14:textId="77777777" w:rsidR="00324DC1" w:rsidRDefault="00324DC1" w:rsidP="00A158C6">
            <w:pPr>
              <w:spacing w:line="276" w:lineRule="auto"/>
            </w:pPr>
            <w:r>
              <w:rPr>
                <w:rFonts w:eastAsia="Times New Roman" w:cs="Arial"/>
                <w:lang w:eastAsia="en-AU"/>
              </w:rPr>
              <w:t xml:space="preserve">Determines coarse physical structure of plant community. Surrogate for competitive ability: taller plants receive more light but must construct and maintain support structures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w:t>
            </w:r>
          </w:p>
        </w:tc>
      </w:tr>
      <w:tr w:rsidR="00324DC1" w14:paraId="014901C0" w14:textId="77777777" w:rsidTr="00A158C6">
        <w:tc>
          <w:tcPr>
            <w:tcW w:w="2254" w:type="dxa"/>
            <w:shd w:val="clear" w:color="auto" w:fill="auto"/>
            <w:hideMark/>
          </w:tcPr>
          <w:p w14:paraId="57252DA7" w14:textId="77777777" w:rsidR="00324DC1" w:rsidRDefault="00324DC1" w:rsidP="00A158C6">
            <w:pPr>
              <w:spacing w:line="276" w:lineRule="auto"/>
              <w:rPr>
                <w:i/>
              </w:rPr>
            </w:pPr>
            <w:r>
              <w:rPr>
                <w:i/>
              </w:rPr>
              <w:t>Seed mass</w:t>
            </w:r>
          </w:p>
        </w:tc>
        <w:tc>
          <w:tcPr>
            <w:tcW w:w="2254" w:type="dxa"/>
            <w:shd w:val="clear" w:color="auto" w:fill="auto"/>
          </w:tcPr>
          <w:p w14:paraId="48553C21" w14:textId="77777777" w:rsidR="00324DC1" w:rsidRDefault="00324DC1" w:rsidP="00A158C6">
            <w:pPr>
              <w:spacing w:line="276" w:lineRule="auto"/>
              <w:rPr>
                <w:rFonts w:eastAsia="Times New Roman" w:cs="Arial"/>
                <w:lang w:eastAsia="en-AU"/>
              </w:rPr>
            </w:pPr>
            <w:r>
              <w:rPr>
                <w:rFonts w:eastAsia="Times New Roman" w:cs="Arial"/>
                <w:lang w:eastAsia="en-AU"/>
              </w:rPr>
              <w:t xml:space="preserve">Combined mass of the seed coat, endosperm and embryo (g). </w:t>
            </w:r>
            <w:r>
              <w:rPr>
                <w:rFonts w:eastAsia="Times New Roman" w:cs="Arial"/>
                <w:lang w:eastAsia="en-AU"/>
              </w:rPr>
              <w:lastRenderedPageBreak/>
              <w:t>Excludes dispersal structures.</w:t>
            </w:r>
          </w:p>
          <w:p w14:paraId="08F09D60" w14:textId="77777777" w:rsidR="00324DC1" w:rsidRDefault="00324DC1" w:rsidP="00A158C6">
            <w:pPr>
              <w:spacing w:line="276" w:lineRule="auto"/>
              <w:rPr>
                <w:rFonts w:eastAsia="Times New Roman" w:cs="Arial"/>
                <w:lang w:eastAsia="en-AU"/>
              </w:rPr>
            </w:pPr>
          </w:p>
        </w:tc>
        <w:tc>
          <w:tcPr>
            <w:tcW w:w="2254" w:type="dxa"/>
            <w:shd w:val="clear" w:color="auto" w:fill="auto"/>
            <w:hideMark/>
          </w:tcPr>
          <w:p w14:paraId="11D2281F" w14:textId="77777777" w:rsidR="00324DC1" w:rsidRDefault="00324DC1" w:rsidP="00A158C6">
            <w:pPr>
              <w:spacing w:line="276" w:lineRule="auto"/>
            </w:pPr>
            <w:r>
              <w:lastRenderedPageBreak/>
              <w:t xml:space="preserve">Larger seed mass confers ability to establish in </w:t>
            </w:r>
            <w:r>
              <w:lastRenderedPageBreak/>
              <w:t xml:space="preserve">unfavourable conditions </w:t>
            </w:r>
            <w:r>
              <w:fldChar w:fldCharType="begin" w:fldLock="1"/>
            </w:r>
            <w: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fldChar w:fldCharType="separate"/>
            </w:r>
            <w:r>
              <w:rPr>
                <w:noProof/>
              </w:rPr>
              <w:t xml:space="preserve">(Leishman </w:t>
            </w:r>
            <w:r>
              <w:rPr>
                <w:i/>
                <w:noProof/>
              </w:rPr>
              <w:t>et al.</w:t>
            </w:r>
            <w:r>
              <w:rPr>
                <w:noProof/>
              </w:rPr>
              <w:t xml:space="preserve"> 2000)</w:t>
            </w:r>
            <w:r>
              <w:fldChar w:fldCharType="end"/>
            </w:r>
            <w:r>
              <w:t xml:space="preserve">. Also related to seed buoyancy (Carthey 2014, </w:t>
            </w:r>
            <w:r>
              <w:rPr>
                <w:i/>
              </w:rPr>
              <w:t>unpublished data</w:t>
            </w:r>
            <w:r>
              <w:t>).</w:t>
            </w:r>
          </w:p>
        </w:tc>
        <w:tc>
          <w:tcPr>
            <w:tcW w:w="2254" w:type="dxa"/>
            <w:shd w:val="clear" w:color="auto" w:fill="auto"/>
            <w:hideMark/>
          </w:tcPr>
          <w:p w14:paraId="4659E23C" w14:textId="77777777" w:rsidR="00324DC1" w:rsidRDefault="00324DC1" w:rsidP="00A158C6">
            <w:pPr>
              <w:spacing w:line="276" w:lineRule="auto"/>
            </w:pPr>
            <w:r>
              <w:lastRenderedPageBreak/>
              <w:t xml:space="preserve">Seeds may be an important food source for animals. </w:t>
            </w:r>
          </w:p>
        </w:tc>
      </w:tr>
      <w:tr w:rsidR="00324DC1" w14:paraId="7518D723" w14:textId="77777777" w:rsidTr="00A158C6">
        <w:tc>
          <w:tcPr>
            <w:tcW w:w="2254" w:type="dxa"/>
            <w:shd w:val="clear" w:color="auto" w:fill="auto"/>
            <w:hideMark/>
          </w:tcPr>
          <w:p w14:paraId="68D4D014" w14:textId="77777777" w:rsidR="00324DC1" w:rsidRDefault="00324DC1" w:rsidP="00A158C6">
            <w:pPr>
              <w:spacing w:line="276" w:lineRule="auto"/>
              <w:rPr>
                <w:i/>
              </w:rPr>
            </w:pPr>
            <w:r>
              <w:rPr>
                <w:i/>
              </w:rPr>
              <w:t>Wood density</w:t>
            </w:r>
          </w:p>
        </w:tc>
        <w:tc>
          <w:tcPr>
            <w:tcW w:w="2254" w:type="dxa"/>
            <w:shd w:val="clear" w:color="auto" w:fill="auto"/>
            <w:hideMark/>
          </w:tcPr>
          <w:p w14:paraId="473F8B59" w14:textId="77777777" w:rsidR="00324DC1" w:rsidRDefault="00324DC1" w:rsidP="00A158C6">
            <w:pPr>
              <w:spacing w:line="276" w:lineRule="auto"/>
              <w:rPr>
                <w:rFonts w:eastAsia="Times New Roman" w:cs="Arial"/>
                <w:lang w:eastAsia="en-AU"/>
              </w:rPr>
            </w:pPr>
            <w:r>
              <w:rPr>
                <w:rFonts w:eastAsia="Times New Roman" w:cs="Arial"/>
                <w:lang w:eastAsia="en-AU"/>
              </w:rPr>
              <w:t>Oven dry mass divided by green volume (g/cm</w:t>
            </w:r>
            <w:r>
              <w:rPr>
                <w:rFonts w:eastAsia="Times New Roman" w:cs="Arial"/>
                <w:vertAlign w:val="superscript"/>
                <w:lang w:eastAsia="en-AU"/>
              </w:rPr>
              <w:t>3</w:t>
            </w:r>
            <w:r>
              <w:rPr>
                <w:rFonts w:eastAsia="Times New Roman" w:cs="Arial"/>
                <w:lang w:eastAsia="en-AU"/>
              </w:rPr>
              <w:t>)</w:t>
            </w:r>
          </w:p>
        </w:tc>
        <w:tc>
          <w:tcPr>
            <w:tcW w:w="2254" w:type="dxa"/>
            <w:shd w:val="clear" w:color="auto" w:fill="auto"/>
            <w:hideMark/>
          </w:tcPr>
          <w:p w14:paraId="6BD1B2D7" w14:textId="77777777" w:rsidR="00324DC1" w:rsidRDefault="00324DC1" w:rsidP="00A158C6">
            <w:pPr>
              <w:spacing w:line="276" w:lineRule="auto"/>
            </w:pPr>
            <w:r>
              <w:rPr>
                <w:rFonts w:eastAsia="Times New Roman" w:cs="Arial"/>
                <w:lang w:eastAsia="en-AU"/>
              </w:rPr>
              <w:t xml:space="preserve">Dense wood tissue confers mechanical strength, but is energetically expensive to construct. Wood density influences ability to tolerate drought stress and disturbance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 xml:space="preserve">(Telewski 1995; Preston, Cornwell &amp; Denoyer 2006; Lawson </w:t>
            </w:r>
            <w:r>
              <w:rPr>
                <w:rFonts w:eastAsia="Times New Roman" w:cs="Arial"/>
                <w:i/>
                <w:noProof/>
                <w:lang w:eastAsia="en-AU"/>
              </w:rPr>
              <w:t>et al</w:t>
            </w:r>
            <w:r>
              <w:rPr>
                <w:rFonts w:eastAsia="Times New Roman" w:cs="Arial"/>
                <w:noProof/>
                <w:lang w:eastAsia="en-AU"/>
              </w:rPr>
              <w:t>. 2015)</w:t>
            </w:r>
            <w:r>
              <w:rPr>
                <w:rFonts w:eastAsia="Times New Roman" w:cs="Arial"/>
                <w:lang w:eastAsia="en-AU"/>
              </w:rPr>
              <w:fldChar w:fldCharType="end"/>
            </w:r>
            <w:r>
              <w:rPr>
                <w:rFonts w:eastAsia="Times New Roman" w:cs="Arial"/>
                <w:lang w:eastAsia="en-AU"/>
              </w:rPr>
              <w:t>.</w:t>
            </w:r>
          </w:p>
        </w:tc>
        <w:tc>
          <w:tcPr>
            <w:tcW w:w="2254" w:type="dxa"/>
            <w:shd w:val="clear" w:color="auto" w:fill="auto"/>
            <w:hideMark/>
          </w:tcPr>
          <w:p w14:paraId="66C6D651" w14:textId="77777777" w:rsidR="00324DC1" w:rsidRDefault="00324DC1" w:rsidP="00A158C6">
            <w:pPr>
              <w:spacing w:line="276" w:lineRule="auto"/>
            </w:pPr>
            <w:r>
              <w:t xml:space="preserve">Regulates decomposition rate; this affects nutrient cycling and determines the residency time of woody debris in the fluvial system </w:t>
            </w:r>
            <w:r>
              <w:fldChar w:fldCharType="begin" w:fldLock="1"/>
            </w:r>
            <w:r>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fldChar w:fldCharType="separate"/>
            </w:r>
            <w:r>
              <w:rPr>
                <w:noProof/>
              </w:rPr>
              <w:t>(Mackensen, Bauhus &amp; Webber 2003)</w:t>
            </w:r>
            <w:r>
              <w:fldChar w:fldCharType="end"/>
            </w:r>
            <w:r>
              <w:t>.</w:t>
            </w:r>
          </w:p>
        </w:tc>
      </w:tr>
      <w:tr w:rsidR="00324DC1" w14:paraId="36311C8F" w14:textId="77777777" w:rsidTr="00A158C6">
        <w:tc>
          <w:tcPr>
            <w:tcW w:w="2254" w:type="dxa"/>
            <w:shd w:val="clear" w:color="auto" w:fill="auto"/>
            <w:hideMark/>
          </w:tcPr>
          <w:p w14:paraId="55024144" w14:textId="77777777" w:rsidR="00324DC1" w:rsidRDefault="00324DC1" w:rsidP="00A158C6">
            <w:pPr>
              <w:spacing w:line="276" w:lineRule="auto"/>
              <w:rPr>
                <w:i/>
              </w:rPr>
            </w:pPr>
            <w:r>
              <w:rPr>
                <w:i/>
              </w:rPr>
              <w:t>Flowering period length</w:t>
            </w:r>
          </w:p>
        </w:tc>
        <w:tc>
          <w:tcPr>
            <w:tcW w:w="2254" w:type="dxa"/>
            <w:shd w:val="clear" w:color="auto" w:fill="auto"/>
            <w:hideMark/>
          </w:tcPr>
          <w:p w14:paraId="528EA8BD" w14:textId="77777777" w:rsidR="00324DC1" w:rsidRDefault="00324DC1" w:rsidP="00A158C6">
            <w:pPr>
              <w:spacing w:line="276" w:lineRule="auto"/>
              <w:rPr>
                <w:rFonts w:eastAsia="Times New Roman" w:cs="Arial"/>
                <w:lang w:eastAsia="en-AU"/>
              </w:rPr>
            </w:pPr>
            <w:r>
              <w:rPr>
                <w:rFonts w:eastAsia="Times New Roman" w:cs="Arial"/>
                <w:lang w:eastAsia="en-AU"/>
              </w:rPr>
              <w:t>Proportion of the year spent in flower (proportion, dimensionless).</w:t>
            </w:r>
          </w:p>
        </w:tc>
        <w:tc>
          <w:tcPr>
            <w:tcW w:w="2254" w:type="dxa"/>
            <w:shd w:val="clear" w:color="auto" w:fill="auto"/>
            <w:hideMark/>
          </w:tcPr>
          <w:p w14:paraId="45EC4F19" w14:textId="77777777" w:rsidR="00324DC1" w:rsidRDefault="00324DC1" w:rsidP="00A158C6">
            <w:pPr>
              <w:spacing w:line="276" w:lineRule="auto"/>
            </w:pPr>
            <w:r>
              <w:rPr>
                <w:noProof/>
              </w:rPr>
              <w:t>Indicates species’ ability to respond reproductively to favourable conditions.</w:t>
            </w:r>
          </w:p>
        </w:tc>
        <w:tc>
          <w:tcPr>
            <w:tcW w:w="2254" w:type="dxa"/>
            <w:shd w:val="clear" w:color="auto" w:fill="auto"/>
            <w:hideMark/>
          </w:tcPr>
          <w:p w14:paraId="15A35644" w14:textId="77777777" w:rsidR="00324DC1" w:rsidRDefault="00324DC1" w:rsidP="00A158C6">
            <w:pPr>
              <w:spacing w:line="276" w:lineRule="auto"/>
            </w:pPr>
            <w:r>
              <w:t>Flowers may be an important food source for animals.</w:t>
            </w:r>
          </w:p>
        </w:tc>
      </w:tr>
    </w:tbl>
    <w:p w14:paraId="2A7D0469" w14:textId="77777777" w:rsidR="00324DC1" w:rsidRDefault="00324DC1" w:rsidP="004425F9">
      <w:pPr>
        <w:spacing w:line="360" w:lineRule="auto"/>
      </w:pPr>
    </w:p>
    <w:p w14:paraId="15217A16" w14:textId="77777777" w:rsidR="00324DC1" w:rsidRDefault="00324DC1" w:rsidP="004425F9">
      <w:pPr>
        <w:spacing w:line="360" w:lineRule="auto"/>
      </w:pPr>
    </w:p>
    <w:p w14:paraId="40555331" w14:textId="77777777" w:rsidR="00324DC1" w:rsidRDefault="00324DC1" w:rsidP="004425F9">
      <w:pPr>
        <w:spacing w:line="360" w:lineRule="auto"/>
      </w:pPr>
    </w:p>
    <w:p w14:paraId="2465574B" w14:textId="77777777" w:rsidR="00324DC1" w:rsidRDefault="00324DC1" w:rsidP="004425F9">
      <w:pPr>
        <w:spacing w:line="360" w:lineRule="auto"/>
      </w:pPr>
    </w:p>
    <w:p w14:paraId="5ED29F94" w14:textId="77777777" w:rsidR="00324DC1" w:rsidRDefault="00324DC1" w:rsidP="004425F9">
      <w:pPr>
        <w:spacing w:line="360" w:lineRule="auto"/>
      </w:pPr>
    </w:p>
    <w:p w14:paraId="5140C79B" w14:textId="77777777" w:rsidR="00324DC1" w:rsidRDefault="00324DC1" w:rsidP="004425F9">
      <w:pPr>
        <w:spacing w:line="360" w:lineRule="auto"/>
      </w:pPr>
    </w:p>
    <w:p w14:paraId="3D367327" w14:textId="77777777" w:rsidR="00324DC1" w:rsidRDefault="00324DC1" w:rsidP="004425F9">
      <w:pPr>
        <w:spacing w:line="360" w:lineRule="auto"/>
      </w:pPr>
    </w:p>
    <w:p w14:paraId="6CEC83F2" w14:textId="77777777" w:rsidR="00324DC1" w:rsidRDefault="00324DC1" w:rsidP="004425F9">
      <w:pPr>
        <w:spacing w:line="360" w:lineRule="auto"/>
      </w:pPr>
    </w:p>
    <w:p w14:paraId="488EC084" w14:textId="77777777" w:rsidR="00324DC1" w:rsidRDefault="00324DC1" w:rsidP="004425F9">
      <w:pPr>
        <w:spacing w:line="360" w:lineRule="auto"/>
      </w:pPr>
    </w:p>
    <w:p w14:paraId="353D676A" w14:textId="77777777" w:rsidR="002C14F5" w:rsidRDefault="002C14F5" w:rsidP="004425F9">
      <w:pPr>
        <w:spacing w:line="360" w:lineRule="auto"/>
      </w:pPr>
    </w:p>
    <w:p w14:paraId="277C6D7C" w14:textId="77777777" w:rsidR="00324DC1" w:rsidRDefault="00324DC1" w:rsidP="004425F9">
      <w:pPr>
        <w:spacing w:line="360" w:lineRule="auto"/>
      </w:pPr>
    </w:p>
    <w:p w14:paraId="6B80E63E" w14:textId="68D39C45" w:rsidR="00324DC1" w:rsidRDefault="00324DC1" w:rsidP="004425F9">
      <w:pPr>
        <w:spacing w:line="360" w:lineRule="auto"/>
      </w:pPr>
      <w:r>
        <w:lastRenderedPageBreak/>
        <w:t>FIGURES</w:t>
      </w:r>
    </w:p>
    <w:p w14:paraId="37AB484F" w14:textId="77777777" w:rsidR="00FF6B5C" w:rsidRDefault="00FF6B5C" w:rsidP="00FF6B5C">
      <w:pPr>
        <w:keepNext/>
        <w:spacing w:line="360" w:lineRule="auto"/>
      </w:pPr>
      <w:r>
        <w:rPr>
          <w:noProof/>
          <w:lang w:eastAsia="en-AU"/>
        </w:rPr>
        <w:drawing>
          <wp:inline distT="0" distB="0" distL="0" distR="0" wp14:anchorId="7DA0C607" wp14:editId="1BD9F341">
            <wp:extent cx="4270723" cy="602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4ma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1948" cy="6031055"/>
                    </a:xfrm>
                    <a:prstGeom prst="rect">
                      <a:avLst/>
                    </a:prstGeom>
                  </pic:spPr>
                </pic:pic>
              </a:graphicData>
            </a:graphic>
          </wp:inline>
        </w:drawing>
      </w:r>
    </w:p>
    <w:p w14:paraId="4101D04C" w14:textId="77777777" w:rsidR="00FF6B5C" w:rsidRDefault="00FF6B5C" w:rsidP="00FF6B5C">
      <w:pPr>
        <w:pStyle w:val="Caption"/>
        <w:rPr>
          <w:highlight w:val="yellow"/>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683BFB">
        <w:t>Study area (inset), study catchments and locations of field sites in south-eastern Queensland.</w:t>
      </w:r>
    </w:p>
    <w:p w14:paraId="1355D012" w14:textId="77777777" w:rsidR="00FF6B5C" w:rsidRDefault="00FF6B5C" w:rsidP="004425F9">
      <w:pPr>
        <w:spacing w:line="360" w:lineRule="auto"/>
      </w:pPr>
    </w:p>
    <w:p w14:paraId="0CDD162F" w14:textId="77777777" w:rsidR="00FF6B5C" w:rsidRDefault="00FF6B5C" w:rsidP="00FF6B5C">
      <w:pPr>
        <w:keepNext/>
        <w:spacing w:line="360" w:lineRule="auto"/>
      </w:pPr>
      <w:r>
        <w:rPr>
          <w:noProof/>
          <w:lang w:eastAsia="en-AU"/>
        </w:rPr>
        <w:lastRenderedPageBreak/>
        <w:drawing>
          <wp:inline distT="0" distB="0" distL="0" distR="0" wp14:anchorId="1CCEF977" wp14:editId="4B450FFD">
            <wp:extent cx="5731510" cy="4565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4speciesRichness_cha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18A8BFB3" w14:textId="77777777" w:rsidR="00FF6B5C" w:rsidRDefault="00FF6B5C" w:rsidP="00FF6B5C">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9661D7">
        <w:t>Environmental drivers of area-standardised species richness (units = species per m</w:t>
      </w:r>
      <w:r w:rsidRPr="009661D7">
        <w:rPr>
          <w:vertAlign w:val="superscript"/>
        </w:rPr>
        <w:t>2</w:t>
      </w:r>
      <w:r w:rsidRPr="009661D7">
        <w:t xml:space="preserve">) in riparian plant communities. a.) variance partitioning Venn diagram. Numbers within the diagram represent adjusted </w:t>
      </w:r>
      <w:r>
        <w:t>R</w:t>
      </w:r>
      <w:r w:rsidRPr="009661D7">
        <w:rPr>
          <w:vertAlign w:val="superscript"/>
        </w:rPr>
        <w:t>2</w:t>
      </w:r>
      <w:r w:rsidRPr="009661D7">
        <w:t xml:space="preserve"> (adj. </w:t>
      </w:r>
      <w:r>
        <w:t>R</w:t>
      </w:r>
      <w:r w:rsidRPr="009661D7">
        <w:rPr>
          <w:vertAlign w:val="superscript"/>
        </w:rPr>
        <w:t>2</w:t>
      </w:r>
      <w:r w:rsidRPr="009661D7">
        <w:t>) values associated with each fraction of variation; b.) multiple regression models representing each set of environmental conditions, and their optimal combination. Quadratic terms are enclosed in parentheses. Selected univariate relationships between species richness and environmental variables describing c.) constancy of monthly minimum daily flows (C</w:t>
      </w:r>
      <w:r>
        <w:t>_</w:t>
      </w:r>
      <w:r w:rsidRPr="009661D7">
        <w:t>MinM); d.) contingency of monthly minimum daily flows (M</w:t>
      </w:r>
      <w:r>
        <w:t>_</w:t>
      </w:r>
      <w:r w:rsidRPr="009661D7">
        <w:t>MinM); e.) contingency of monthly maximum daily flows (M</w:t>
      </w:r>
      <w:r>
        <w:t>_</w:t>
      </w:r>
      <w:r w:rsidRPr="009661D7">
        <w:t>MaxM); f.) modification of contingency of monthly minimum daily flows (M</w:t>
      </w:r>
      <w:r>
        <w:t>_</w:t>
      </w:r>
      <w:r w:rsidRPr="009661D7">
        <w:t xml:space="preserve">MinM.mod, </w:t>
      </w:r>
      <w:r>
        <w:t>%</w:t>
      </w:r>
      <w:r w:rsidRPr="009661D7">
        <w:t xml:space="preserve"> change); g.) modification of contingency of monthly maximum daily flows (M</w:t>
      </w:r>
      <w:r>
        <w:t>_</w:t>
      </w:r>
      <w:r w:rsidRPr="009661D7">
        <w:t xml:space="preserve">MaxM.mod, </w:t>
      </w:r>
      <w:r>
        <w:t>%</w:t>
      </w:r>
      <w:r w:rsidRPr="009661D7">
        <w:t xml:space="preserve"> change); h.) modification of interannual variability in baseflow (CVAnnBFI);i.) precipitation in the wettest quarter of the year (clim</w:t>
      </w:r>
      <w:r>
        <w:t>_</w:t>
      </w:r>
      <w:r w:rsidRPr="009661D7">
        <w:t>pwet, mm); j.) precipitation in the driest quarter of the year (clim</w:t>
      </w:r>
      <w:r>
        <w:t>_</w:t>
      </w:r>
      <w:r w:rsidRPr="009661D7">
        <w:t>pdry, mm); k.) temperature seasonality (clim</w:t>
      </w:r>
      <w:r>
        <w:t>_</w:t>
      </w:r>
      <w:r w:rsidRPr="009661D7">
        <w:t>tsea) l.) soil effective cation exchange capacity (soil</w:t>
      </w:r>
      <w:r>
        <w:t>_</w:t>
      </w:r>
      <w:r w:rsidRPr="009661D7">
        <w:t>ece, meq per 100 g); m.) soil organic carbon content (soil</w:t>
      </w:r>
      <w:r>
        <w:t>_</w:t>
      </w:r>
      <w:r w:rsidRPr="009661D7">
        <w:t xml:space="preserve">soc, </w:t>
      </w:r>
      <w:r>
        <w:t>%</w:t>
      </w:r>
      <w:r w:rsidRPr="009661D7">
        <w:t xml:space="preserve">). Species richness is presented as the abundanced-based Chao's Species Estimator. Fitted lines depict ordinary least-squares regression models. Shaded areas depict the smoothed 95 </w:t>
      </w:r>
      <w:r>
        <w:t>%</w:t>
      </w:r>
      <w:r w:rsidRPr="009661D7">
        <w:t xml:space="preserve"> confidence interval around the regression model.</w:t>
      </w:r>
    </w:p>
    <w:p w14:paraId="4B0DBB34" w14:textId="77777777" w:rsidR="00324DC1" w:rsidRDefault="00324DC1" w:rsidP="004425F9">
      <w:pPr>
        <w:spacing w:line="360" w:lineRule="auto"/>
      </w:pPr>
    </w:p>
    <w:p w14:paraId="681335EF" w14:textId="77777777" w:rsidR="00FF6B5C" w:rsidRDefault="00FF6B5C" w:rsidP="00FF6B5C">
      <w:pPr>
        <w:keepNext/>
        <w:spacing w:line="360" w:lineRule="auto"/>
      </w:pPr>
      <w:r>
        <w:rPr>
          <w:noProof/>
          <w:lang w:eastAsia="en-AU"/>
        </w:rPr>
        <w:lastRenderedPageBreak/>
        <w:drawing>
          <wp:inline distT="0" distB="0" distL="0" distR="0" wp14:anchorId="25AA45E8" wp14:editId="10489187">
            <wp:extent cx="5731510" cy="3427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4FRicSES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4408EE49" w14:textId="77777777" w:rsidR="00FF6B5C" w:rsidRDefault="00FF6B5C" w:rsidP="00FF6B5C">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9661D7">
        <w:t xml:space="preserve">Environmental drivers of standardised effect size functional richness (FRic.SES) in riparian plant communities. a.) variance partitioning Venn diagram. Numbers within the diagram represent adjusted </w:t>
      </w:r>
      <w:r>
        <w:t>R</w:t>
      </w:r>
      <w:r w:rsidRPr="009661D7">
        <w:rPr>
          <w:vertAlign w:val="superscript"/>
        </w:rPr>
        <w:t>2</w:t>
      </w:r>
      <w:r>
        <w:t xml:space="preserve"> </w:t>
      </w:r>
      <w:r w:rsidRPr="009661D7">
        <w:t xml:space="preserve">(adj. </w:t>
      </w:r>
      <w:r>
        <w:t>R</w:t>
      </w:r>
      <w:r w:rsidRPr="009661D7">
        <w:rPr>
          <w:vertAlign w:val="superscript"/>
        </w:rPr>
        <w:t>2</w:t>
      </w:r>
      <w:r w:rsidRPr="009661D7">
        <w:t xml:space="preserve">) values associated with each fraction of variation; b.) multiple regression models representing each set of environmental conditions, and their optimal combination. Quadratic terms are enclosed in parentheses. Selected relationships between FRic.SES and environmental variables describing c.) interannual variability in baseflow (CVAnnBFI); d.) mean annual frequency of high flow periods (MDFAnnHSNum); e.) modification of mean annual frequency of high flow periods (MDFAnnHSNum.mod, </w:t>
      </w:r>
      <w:r>
        <w:t>%</w:t>
      </w:r>
      <w:r w:rsidRPr="009661D7">
        <w:t xml:space="preserve"> change); f.) precipitation in the wettest quarter (clim</w:t>
      </w:r>
      <w:r>
        <w:t>_</w:t>
      </w:r>
      <w:r w:rsidRPr="009661D7">
        <w:t>pwet, mm); g.) soil total nitrogen (soil</w:t>
      </w:r>
      <w:r>
        <w:t>_</w:t>
      </w:r>
      <w:r w:rsidRPr="009661D7">
        <w:t xml:space="preserve">nto, </w:t>
      </w:r>
      <w:r>
        <w:t>%</w:t>
      </w:r>
      <w:r w:rsidRPr="009661D7">
        <w:t>); h.) soil organic carbon (soil</w:t>
      </w:r>
      <w:r>
        <w:t>_</w:t>
      </w:r>
      <w:r w:rsidRPr="009661D7">
        <w:t xml:space="preserve">soc, </w:t>
      </w:r>
      <w:r>
        <w:t>%</w:t>
      </w:r>
      <w:r w:rsidRPr="009661D7">
        <w:t xml:space="preserve">). Fitted lines depict ordinary least-squares regression models. Shaded areas depict the smoothed 95 </w:t>
      </w:r>
      <w:r>
        <w:t>%</w:t>
      </w:r>
      <w:r w:rsidRPr="009661D7">
        <w:t xml:space="preserve"> confidence interval around the regression model.</w:t>
      </w:r>
    </w:p>
    <w:p w14:paraId="33833ADF" w14:textId="77777777" w:rsidR="00FF6B5C" w:rsidRDefault="00FF6B5C" w:rsidP="004425F9">
      <w:pPr>
        <w:spacing w:line="360" w:lineRule="auto"/>
      </w:pPr>
    </w:p>
    <w:p w14:paraId="4B039D04" w14:textId="77777777" w:rsidR="00FF6B5C" w:rsidRDefault="00FF6B5C" w:rsidP="004425F9">
      <w:pPr>
        <w:spacing w:line="360" w:lineRule="auto"/>
      </w:pPr>
    </w:p>
    <w:p w14:paraId="64AB8C66" w14:textId="77777777" w:rsidR="00FF6B5C" w:rsidRDefault="00FF6B5C" w:rsidP="004425F9">
      <w:pPr>
        <w:spacing w:line="360" w:lineRule="auto"/>
      </w:pPr>
    </w:p>
    <w:p w14:paraId="24361F1D" w14:textId="77777777" w:rsidR="00FF6B5C" w:rsidRDefault="00FF6B5C" w:rsidP="004425F9">
      <w:pPr>
        <w:spacing w:line="360" w:lineRule="auto"/>
      </w:pPr>
    </w:p>
    <w:p w14:paraId="4B547141" w14:textId="77777777" w:rsidR="00FF6B5C" w:rsidRDefault="00FF6B5C" w:rsidP="004425F9">
      <w:pPr>
        <w:spacing w:line="360" w:lineRule="auto"/>
      </w:pPr>
    </w:p>
    <w:p w14:paraId="01899CAA" w14:textId="77777777" w:rsidR="00FF6B5C" w:rsidRDefault="00FF6B5C" w:rsidP="004425F9">
      <w:pPr>
        <w:spacing w:line="360" w:lineRule="auto"/>
      </w:pPr>
    </w:p>
    <w:p w14:paraId="174BD544" w14:textId="77777777" w:rsidR="00FF6B5C" w:rsidRDefault="00FF6B5C" w:rsidP="004425F9">
      <w:pPr>
        <w:spacing w:line="360" w:lineRule="auto"/>
      </w:pPr>
    </w:p>
    <w:p w14:paraId="53414B53" w14:textId="77777777" w:rsidR="00FF6B5C" w:rsidRDefault="00FF6B5C" w:rsidP="004425F9">
      <w:pPr>
        <w:spacing w:line="360" w:lineRule="auto"/>
      </w:pPr>
    </w:p>
    <w:p w14:paraId="0AF38848" w14:textId="77777777" w:rsidR="00FF6B5C" w:rsidRDefault="00FF6B5C" w:rsidP="004425F9">
      <w:pPr>
        <w:spacing w:line="360" w:lineRule="auto"/>
      </w:pPr>
    </w:p>
    <w:p w14:paraId="3BBFFB23" w14:textId="77777777" w:rsidR="00FF6B5C" w:rsidRDefault="00FF6B5C" w:rsidP="004425F9">
      <w:pPr>
        <w:spacing w:line="360" w:lineRule="auto"/>
      </w:pPr>
    </w:p>
    <w:p w14:paraId="4F124468" w14:textId="77777777" w:rsidR="00FF6B5C" w:rsidRDefault="00FF6B5C" w:rsidP="004425F9">
      <w:pPr>
        <w:spacing w:line="360" w:lineRule="auto"/>
      </w:pPr>
    </w:p>
    <w:p w14:paraId="3EAAB28F" w14:textId="77777777" w:rsidR="00FF6B5C" w:rsidRDefault="00FF6B5C" w:rsidP="00FF6B5C">
      <w:pPr>
        <w:keepNext/>
        <w:spacing w:line="360" w:lineRule="auto"/>
      </w:pPr>
      <w:r>
        <w:rPr>
          <w:noProof/>
          <w:lang w:eastAsia="en-AU"/>
        </w:rPr>
        <w:lastRenderedPageBreak/>
        <w:drawing>
          <wp:inline distT="0" distB="0" distL="0" distR="0" wp14:anchorId="11D863BE" wp14:editId="35772F44">
            <wp:extent cx="5731510" cy="3477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4FDisS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inline>
        </w:drawing>
      </w:r>
    </w:p>
    <w:p w14:paraId="3590DF6F" w14:textId="77777777" w:rsidR="00FF6B5C" w:rsidRDefault="00FF6B5C" w:rsidP="00FF6B5C">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9661D7">
        <w:t xml:space="preserve">Environmental drivers of standardised effect size functional dispersion (FDis.SES) in riparian plant communities. a.) variance partitioning Venn diagram. Numbers within the diagram represent adjusted </w:t>
      </w:r>
      <w:r>
        <w:t>R</w:t>
      </w:r>
      <w:r w:rsidRPr="009661D7">
        <w:rPr>
          <w:vertAlign w:val="superscript"/>
        </w:rPr>
        <w:t>2</w:t>
      </w:r>
      <w:r w:rsidRPr="009661D7">
        <w:t xml:space="preserve"> (adj. </w:t>
      </w:r>
      <w:r>
        <w:t>R</w:t>
      </w:r>
      <w:r w:rsidRPr="009661D7">
        <w:rPr>
          <w:vertAlign w:val="superscript"/>
        </w:rPr>
        <w:t>2</w:t>
      </w:r>
      <w:r w:rsidRPr="009661D7">
        <w:t>) values associated with each fraction of variation; b.) multiple regression models representing each set of environmental conditions, and their optimal combination. Quadratic terms are enclosed in parentheses. Selected relationships between FDis.SES and environmental variables describing c.) constancy of monthly maximum daily flows (C</w:t>
      </w:r>
      <w:r>
        <w:t>_</w:t>
      </w:r>
      <w:r w:rsidRPr="009661D7">
        <w:t xml:space="preserve">MaxM); d.) mean annual frequency of high flow periods (MDFAnnHSNum); e.) modification of mean annual frequency of high flow periods (MDFAnnHSNum.mod, </w:t>
      </w:r>
      <w:r>
        <w:t>%</w:t>
      </w:r>
      <w:r w:rsidRPr="009661D7">
        <w:t xml:space="preserve"> change); f.) precipitation in wettest quarter (clim</w:t>
      </w:r>
      <w:r>
        <w:t>_</w:t>
      </w:r>
      <w:r w:rsidRPr="009661D7">
        <w:t>pwet, mm); g.) soil total nitrogen (soil</w:t>
      </w:r>
      <w:r>
        <w:t>_</w:t>
      </w:r>
      <w:r w:rsidRPr="009661D7">
        <w:t xml:space="preserve">nto, </w:t>
      </w:r>
      <w:r>
        <w:t>%</w:t>
      </w:r>
      <w:r w:rsidRPr="009661D7">
        <w:t>); h.) soil organic carbon (soil</w:t>
      </w:r>
      <w:r>
        <w:t>_</w:t>
      </w:r>
      <w:r w:rsidRPr="009661D7">
        <w:t xml:space="preserve">soc, </w:t>
      </w:r>
      <w:r>
        <w:t>%</w:t>
      </w:r>
      <w:r w:rsidRPr="009661D7">
        <w:t xml:space="preserve">). Fitted lines depict ordinary least-squares regression models. Shaded areas depict the smoothed 95 </w:t>
      </w:r>
      <w:r>
        <w:t>%</w:t>
      </w:r>
      <w:r w:rsidRPr="009661D7">
        <w:t xml:space="preserve"> confidence interval around the regression model.</w:t>
      </w:r>
    </w:p>
    <w:p w14:paraId="0AD729B1" w14:textId="77777777" w:rsidR="00FF6B5C" w:rsidRDefault="00FF6B5C" w:rsidP="004425F9">
      <w:pPr>
        <w:spacing w:line="360" w:lineRule="auto"/>
      </w:pPr>
    </w:p>
    <w:p w14:paraId="4C764E4F" w14:textId="77777777" w:rsidR="00FF6B5C" w:rsidRDefault="00FF6B5C" w:rsidP="004425F9">
      <w:pPr>
        <w:spacing w:line="360" w:lineRule="auto"/>
      </w:pPr>
    </w:p>
    <w:p w14:paraId="71A7099C" w14:textId="77777777" w:rsidR="00FF6B5C" w:rsidRDefault="00FF6B5C" w:rsidP="004425F9">
      <w:pPr>
        <w:spacing w:line="360" w:lineRule="auto"/>
      </w:pPr>
    </w:p>
    <w:p w14:paraId="55436234" w14:textId="77777777" w:rsidR="00FF6B5C" w:rsidRDefault="00FF6B5C" w:rsidP="004425F9">
      <w:pPr>
        <w:spacing w:line="360" w:lineRule="auto"/>
      </w:pPr>
    </w:p>
    <w:p w14:paraId="151B494C" w14:textId="77777777" w:rsidR="00FF6B5C" w:rsidRDefault="00FF6B5C" w:rsidP="004425F9">
      <w:pPr>
        <w:spacing w:line="360" w:lineRule="auto"/>
      </w:pPr>
    </w:p>
    <w:sectPr w:rsidR="00FF6B5C" w:rsidSect="00FF6B5C">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22964"/>
    <w:multiLevelType w:val="hybridMultilevel"/>
    <w:tmpl w:val="966AFB7A"/>
    <w:lvl w:ilvl="0" w:tplc="711CD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3E"/>
    <w:rsid w:val="00026237"/>
    <w:rsid w:val="00055BBC"/>
    <w:rsid w:val="00091170"/>
    <w:rsid w:val="00094B3C"/>
    <w:rsid w:val="001057C7"/>
    <w:rsid w:val="00140B44"/>
    <w:rsid w:val="00174AF5"/>
    <w:rsid w:val="002014BF"/>
    <w:rsid w:val="002B2324"/>
    <w:rsid w:val="002C14F5"/>
    <w:rsid w:val="002D0F5F"/>
    <w:rsid w:val="00324DC1"/>
    <w:rsid w:val="00370EFC"/>
    <w:rsid w:val="00397EA1"/>
    <w:rsid w:val="003B2691"/>
    <w:rsid w:val="003E570B"/>
    <w:rsid w:val="004425F9"/>
    <w:rsid w:val="004A43C1"/>
    <w:rsid w:val="004B449E"/>
    <w:rsid w:val="004C77AE"/>
    <w:rsid w:val="00515496"/>
    <w:rsid w:val="00576176"/>
    <w:rsid w:val="006A3F4F"/>
    <w:rsid w:val="006C54DB"/>
    <w:rsid w:val="006C6C6F"/>
    <w:rsid w:val="006D3747"/>
    <w:rsid w:val="00743CB1"/>
    <w:rsid w:val="0077043E"/>
    <w:rsid w:val="00774646"/>
    <w:rsid w:val="007779EC"/>
    <w:rsid w:val="007A6DD7"/>
    <w:rsid w:val="007C2557"/>
    <w:rsid w:val="007C6180"/>
    <w:rsid w:val="007F3B75"/>
    <w:rsid w:val="00885149"/>
    <w:rsid w:val="009103EA"/>
    <w:rsid w:val="009661D7"/>
    <w:rsid w:val="00974B6A"/>
    <w:rsid w:val="009B6688"/>
    <w:rsid w:val="009F65E7"/>
    <w:rsid w:val="00A2399D"/>
    <w:rsid w:val="00AE30EB"/>
    <w:rsid w:val="00B5731E"/>
    <w:rsid w:val="00C61E49"/>
    <w:rsid w:val="00CA4F00"/>
    <w:rsid w:val="00DE1A54"/>
    <w:rsid w:val="00DF2848"/>
    <w:rsid w:val="00F32B51"/>
    <w:rsid w:val="00F5227C"/>
    <w:rsid w:val="00F61078"/>
    <w:rsid w:val="00F850CF"/>
    <w:rsid w:val="00FB54D8"/>
    <w:rsid w:val="00FF6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538"/>
  <w15:docId w15:val="{C4385D5D-5DB6-40FE-B9C5-42C60F9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4F"/>
    <w:pPr>
      <w:ind w:left="720"/>
      <w:contextualSpacing/>
    </w:pPr>
  </w:style>
  <w:style w:type="character" w:styleId="Hyperlink">
    <w:name w:val="Hyperlink"/>
    <w:basedOn w:val="DefaultParagraphFont"/>
    <w:uiPriority w:val="99"/>
    <w:unhideWhenUsed/>
    <w:rsid w:val="006A3F4F"/>
    <w:rPr>
      <w:color w:val="0000FF"/>
      <w:u w:val="single"/>
    </w:rPr>
  </w:style>
  <w:style w:type="character" w:styleId="CommentReference">
    <w:name w:val="annotation reference"/>
    <w:basedOn w:val="DefaultParagraphFont"/>
    <w:uiPriority w:val="99"/>
    <w:semiHidden/>
    <w:unhideWhenUsed/>
    <w:rsid w:val="004B449E"/>
    <w:rPr>
      <w:sz w:val="16"/>
      <w:szCs w:val="16"/>
    </w:rPr>
  </w:style>
  <w:style w:type="paragraph" w:styleId="CommentText">
    <w:name w:val="annotation text"/>
    <w:basedOn w:val="Normal"/>
    <w:link w:val="CommentTextChar"/>
    <w:uiPriority w:val="99"/>
    <w:semiHidden/>
    <w:unhideWhenUsed/>
    <w:rsid w:val="004B449E"/>
    <w:pPr>
      <w:spacing w:line="240" w:lineRule="auto"/>
    </w:pPr>
    <w:rPr>
      <w:sz w:val="20"/>
      <w:szCs w:val="20"/>
    </w:rPr>
  </w:style>
  <w:style w:type="character" w:customStyle="1" w:styleId="CommentTextChar">
    <w:name w:val="Comment Text Char"/>
    <w:basedOn w:val="DefaultParagraphFont"/>
    <w:link w:val="CommentText"/>
    <w:uiPriority w:val="99"/>
    <w:semiHidden/>
    <w:rsid w:val="004B449E"/>
    <w:rPr>
      <w:sz w:val="20"/>
      <w:szCs w:val="20"/>
    </w:rPr>
  </w:style>
  <w:style w:type="paragraph" w:styleId="CommentSubject">
    <w:name w:val="annotation subject"/>
    <w:basedOn w:val="CommentText"/>
    <w:next w:val="CommentText"/>
    <w:link w:val="CommentSubjectChar"/>
    <w:uiPriority w:val="99"/>
    <w:semiHidden/>
    <w:unhideWhenUsed/>
    <w:rsid w:val="004B449E"/>
    <w:rPr>
      <w:b/>
      <w:bCs/>
    </w:rPr>
  </w:style>
  <w:style w:type="character" w:customStyle="1" w:styleId="CommentSubjectChar">
    <w:name w:val="Comment Subject Char"/>
    <w:basedOn w:val="CommentTextChar"/>
    <w:link w:val="CommentSubject"/>
    <w:uiPriority w:val="99"/>
    <w:semiHidden/>
    <w:rsid w:val="004B449E"/>
    <w:rPr>
      <w:b/>
      <w:bCs/>
      <w:sz w:val="20"/>
      <w:szCs w:val="20"/>
    </w:rPr>
  </w:style>
  <w:style w:type="paragraph" w:styleId="BalloonText">
    <w:name w:val="Balloon Text"/>
    <w:basedOn w:val="Normal"/>
    <w:link w:val="BalloonTextChar"/>
    <w:uiPriority w:val="99"/>
    <w:semiHidden/>
    <w:unhideWhenUsed/>
    <w:rsid w:val="004B4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49E"/>
    <w:rPr>
      <w:rFonts w:ascii="Segoe UI" w:hAnsi="Segoe UI" w:cs="Segoe UI"/>
      <w:sz w:val="18"/>
      <w:szCs w:val="18"/>
    </w:rPr>
  </w:style>
  <w:style w:type="paragraph" w:styleId="Caption">
    <w:name w:val="caption"/>
    <w:basedOn w:val="Normal"/>
    <w:next w:val="Normal"/>
    <w:uiPriority w:val="35"/>
    <w:unhideWhenUsed/>
    <w:qFormat/>
    <w:rsid w:val="006D3747"/>
    <w:pPr>
      <w:spacing w:after="200" w:line="240" w:lineRule="auto"/>
    </w:pPr>
    <w:rPr>
      <w:i/>
      <w:iCs/>
      <w:color w:val="44546A" w:themeColor="text2"/>
      <w:sz w:val="18"/>
      <w:szCs w:val="18"/>
    </w:rPr>
  </w:style>
  <w:style w:type="table" w:styleId="TableGrid">
    <w:name w:val="Table Grid"/>
    <w:basedOn w:val="TableNormal"/>
    <w:uiPriority w:val="39"/>
    <w:rsid w:val="00F610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FB54D8"/>
    <w:pPr>
      <w:spacing w:after="0" w:line="240" w:lineRule="auto"/>
    </w:pPr>
    <w:rPr>
      <w:rFonts w:ascii="Cambria" w:eastAsiaTheme="minorEastAsia" w:hAnsi="Cambria"/>
      <w:noProof/>
      <w:sz w:val="24"/>
      <w:szCs w:val="24"/>
      <w:lang w:val="en-US"/>
    </w:rPr>
  </w:style>
  <w:style w:type="character" w:customStyle="1" w:styleId="EndNoteBibliographyChar">
    <w:name w:val="EndNote Bibliography Char"/>
    <w:basedOn w:val="DefaultParagraphFont"/>
    <w:link w:val="EndNoteBibliography"/>
    <w:rsid w:val="00FB54D8"/>
    <w:rPr>
      <w:rFonts w:ascii="Cambria" w:eastAsiaTheme="minorEastAsia" w:hAnsi="Cambria"/>
      <w:noProof/>
      <w:sz w:val="24"/>
      <w:szCs w:val="24"/>
      <w:lang w:val="en-US"/>
    </w:rPr>
  </w:style>
  <w:style w:type="paragraph" w:styleId="Revision">
    <w:name w:val="Revision"/>
    <w:hidden/>
    <w:uiPriority w:val="99"/>
    <w:semiHidden/>
    <w:rsid w:val="00885149"/>
    <w:pPr>
      <w:spacing w:after="0" w:line="240" w:lineRule="auto"/>
    </w:pPr>
  </w:style>
  <w:style w:type="character" w:styleId="LineNumber">
    <w:name w:val="line number"/>
    <w:basedOn w:val="DefaultParagraphFont"/>
    <w:uiPriority w:val="99"/>
    <w:semiHidden/>
    <w:unhideWhenUsed/>
    <w:rsid w:val="00FF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931033">
      <w:bodyDiv w:val="1"/>
      <w:marLeft w:val="0"/>
      <w:marRight w:val="0"/>
      <w:marTop w:val="0"/>
      <w:marBottom w:val="0"/>
      <w:divBdr>
        <w:top w:val="none" w:sz="0" w:space="0" w:color="auto"/>
        <w:left w:val="none" w:sz="0" w:space="0" w:color="auto"/>
        <w:bottom w:val="none" w:sz="0" w:space="0" w:color="auto"/>
        <w:right w:val="none" w:sz="0" w:space="0" w:color="auto"/>
      </w:divBdr>
    </w:div>
    <w:div w:id="1904631786">
      <w:bodyDiv w:val="1"/>
      <w:marLeft w:val="0"/>
      <w:marRight w:val="0"/>
      <w:marTop w:val="0"/>
      <w:marBottom w:val="0"/>
      <w:divBdr>
        <w:top w:val="none" w:sz="0" w:space="0" w:color="auto"/>
        <w:left w:val="none" w:sz="0" w:space="0" w:color="auto"/>
        <w:bottom w:val="none" w:sz="0" w:space="0" w:color="auto"/>
        <w:right w:val="none" w:sz="0" w:space="0" w:color="auto"/>
      </w:divBdr>
    </w:div>
    <w:div w:id="19057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175F-B658-4B8D-A326-AF51B22B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37</Pages>
  <Words>47604</Words>
  <Characters>271344</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318312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13</cp:revision>
  <dcterms:created xsi:type="dcterms:W3CDTF">2016-05-10T03:40:00Z</dcterms:created>
  <dcterms:modified xsi:type="dcterms:W3CDTF">2016-05-16T02:51:00Z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http://www.zotero.org/styles/freshwater-biology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