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FA" w:rsidRPr="007A61A5" w:rsidRDefault="00A11BD2" w:rsidP="009307FA">
      <w:pPr>
        <w:pStyle w:val="Default"/>
        <w:rPr>
          <w:b/>
        </w:rPr>
      </w:pPr>
      <w:r>
        <w:rPr>
          <w:b/>
        </w:rPr>
        <w:t>Supporting</w:t>
      </w:r>
      <w:r w:rsidR="009307FA" w:rsidRPr="007A61A5">
        <w:rPr>
          <w:b/>
        </w:rPr>
        <w:t xml:space="preserve"> Information S3 – Bibliography of references for trait database</w:t>
      </w:r>
    </w:p>
    <w:p w:rsidR="009307FA" w:rsidRDefault="009307FA" w:rsidP="009307FA">
      <w:pPr>
        <w:pStyle w:val="Default"/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Arnone III, J. A. and Korner, C. (1993). Inuence of elevated CO2 on canopy development and red: far-red ratios in two-storied stands of </w:t>
      </w:r>
      <w:r>
        <w:rPr>
          <w:i/>
          <w:iCs/>
          <w:sz w:val="22"/>
          <w:szCs w:val="22"/>
        </w:rPr>
        <w:t>Ricinus communis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Oecologia</w:t>
      </w:r>
      <w:r>
        <w:rPr>
          <w:sz w:val="22"/>
          <w:szCs w:val="22"/>
        </w:rPr>
        <w:t xml:space="preserve">, 94(4):510-515.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Ash, J. and Helman, C. (1990). Floristics and vegetation biomass of a forest catchment, Kioloa, south coastal New South Wales. </w:t>
      </w:r>
      <w:r>
        <w:rPr>
          <w:i/>
          <w:iCs/>
          <w:sz w:val="22"/>
          <w:szCs w:val="22"/>
        </w:rPr>
        <w:t>Cunninghamia</w:t>
      </w:r>
      <w:r>
        <w:rPr>
          <w:sz w:val="22"/>
          <w:szCs w:val="22"/>
        </w:rPr>
        <w:t xml:space="preserve">, 2(2):167-182.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Brock, J. and Others (2005). Native plants of northern Australia.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Clifford, H. T. (2000). Dicotyledon seedling morphology as a correlate of seed-size. </w:t>
      </w:r>
      <w:r>
        <w:rPr>
          <w:i/>
          <w:iCs/>
          <w:sz w:val="22"/>
          <w:szCs w:val="22"/>
        </w:rPr>
        <w:t>Proceedings of the Royal Society of Queensland</w:t>
      </w:r>
      <w:r>
        <w:rPr>
          <w:sz w:val="22"/>
          <w:szCs w:val="22"/>
        </w:rPr>
        <w:t xml:space="preserve">, 109:39, 48.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Dunlop, C. R., Leach, G. J., Cowie, I. D., Andrews, M., Madsen, M. O., and Gunn, B. F. (1995). Flora of the Darwin region. Conservation Commission of the Northern Territory.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Environmental Weeds of Australia for Biosecurity Queensland. http://keyserver.lucidcentral.org/weeds/data/03030800-0b07-490a-8d04-0605030c0f01/media/Html/Index.htm (Accessed May 2015).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Floyd, A. G., Hayes, H. C., and Others (1960). NSW rainforest trees. Part 1. Family Lauraceae. Research Notes. Division of Forest Management, Forestry Commission, NSW</w:t>
      </w:r>
      <w:r w:rsidR="00D569E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Floyd, A. G. and Others (1989). Rainforest trees of mainland South-eastern Australia. Inkata press, Melbourne.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Fonseca, C. R., Overton, J. M., Collins, B., and Westoby, M. (2000). Shifts in trait combinations along rainfall and phosphorus gradients. </w:t>
      </w:r>
      <w:r>
        <w:rPr>
          <w:i/>
          <w:iCs/>
          <w:sz w:val="22"/>
          <w:szCs w:val="22"/>
        </w:rPr>
        <w:t>Journal of Ecology</w:t>
      </w:r>
      <w:r>
        <w:rPr>
          <w:sz w:val="22"/>
          <w:szCs w:val="22"/>
        </w:rPr>
        <w:t xml:space="preserve">, 88(6):964-977.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Gallagher, R. V., Hughes, L., and Leishman, M. R. (2013). Species loss and gain in communities under future climate change: consequences for functional diversity. </w:t>
      </w:r>
      <w:r>
        <w:rPr>
          <w:i/>
          <w:iCs/>
          <w:sz w:val="22"/>
          <w:szCs w:val="22"/>
        </w:rPr>
        <w:t>Ecography</w:t>
      </w:r>
      <w:r>
        <w:rPr>
          <w:sz w:val="22"/>
          <w:szCs w:val="22"/>
        </w:rPr>
        <w:t xml:space="preserve">, 36(5):531-540.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Gallagher, R. V. and Leishman, M. R. (2012). Contrasting patterns of trait-based community assembly in lianas and trees from temperate Australia. </w:t>
      </w:r>
      <w:r>
        <w:rPr>
          <w:i/>
          <w:iCs/>
          <w:sz w:val="22"/>
          <w:szCs w:val="22"/>
        </w:rPr>
        <w:t>Oikos</w:t>
      </w:r>
      <w:r>
        <w:rPr>
          <w:sz w:val="22"/>
          <w:szCs w:val="22"/>
        </w:rPr>
        <w:t xml:space="preserve">, (March):1-10.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Gallagher, R. V., Leishman, M. R., Miller, J. T., Hui, C., Richardson, D. M., Suda, J., and Travinicek, P. (2011). Invasiveness in introduced Australian acacias: the role of species traits and genome size. </w:t>
      </w:r>
      <w:r>
        <w:rPr>
          <w:i/>
          <w:iCs/>
          <w:sz w:val="22"/>
          <w:szCs w:val="22"/>
        </w:rPr>
        <w:t>Diversity and Distributions</w:t>
      </w:r>
      <w:r>
        <w:rPr>
          <w:sz w:val="22"/>
          <w:szCs w:val="22"/>
        </w:rPr>
        <w:t xml:space="preserve">, 17(5):884-897.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Gleason, S. M., Butler, D. W., Ziemiska, K., Waryszak, P., and Westoby, M. (2012). Stem xylem conductivity is key to plant water balance across Australian angiosperm species. </w:t>
      </w:r>
      <w:r>
        <w:rPr>
          <w:i/>
          <w:iCs/>
          <w:sz w:val="22"/>
          <w:szCs w:val="22"/>
        </w:rPr>
        <w:t>Functional Ecology</w:t>
      </w:r>
      <w:r>
        <w:rPr>
          <w:sz w:val="22"/>
          <w:szCs w:val="22"/>
        </w:rPr>
        <w:t xml:space="preserve">, 26(2):343-352.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Henery, M. L. and Westoby, M. (2001). Seed mass and seed nutrient content as predictors of seed output variation between species. </w:t>
      </w:r>
      <w:r>
        <w:rPr>
          <w:i/>
          <w:iCs/>
          <w:sz w:val="22"/>
          <w:szCs w:val="22"/>
        </w:rPr>
        <w:t>Oikos</w:t>
      </w:r>
      <w:r>
        <w:rPr>
          <w:sz w:val="22"/>
          <w:szCs w:val="22"/>
        </w:rPr>
        <w:t xml:space="preserve">, 92(3):479-490.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Knox, K. J. E. and Clarke, P. J. (2011). Fire severity and nutrient availability donot constrain resprouting in forest shrubs. </w:t>
      </w:r>
      <w:r>
        <w:rPr>
          <w:i/>
          <w:iCs/>
          <w:sz w:val="22"/>
          <w:szCs w:val="22"/>
        </w:rPr>
        <w:t>Plant Ecology</w:t>
      </w:r>
      <w:r>
        <w:rPr>
          <w:sz w:val="22"/>
          <w:szCs w:val="22"/>
        </w:rPr>
        <w:t xml:space="preserve">, 212(12):1967-1978.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9307FA" w:rsidRDefault="009307FA" w:rsidP="009307F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Kooyman, R. M., Rossetto, M., Sauquet, H., and Laffan, S. W. (2013). Landscape patterns in rainforest phylogenetic signal: Isolated islands of refugia or structured continental distributions. </w:t>
      </w:r>
      <w:r>
        <w:rPr>
          <w:i/>
          <w:iCs/>
          <w:sz w:val="22"/>
          <w:szCs w:val="22"/>
        </w:rPr>
        <w:t>PLoS ONE</w:t>
      </w:r>
      <w:r>
        <w:rPr>
          <w:sz w:val="22"/>
          <w:szCs w:val="22"/>
        </w:rPr>
        <w:t xml:space="preserve">, 8(12). </w:t>
      </w:r>
    </w:p>
    <w:p w:rsidR="00D569E8" w:rsidRDefault="00D569E8" w:rsidP="009307FA">
      <w:pPr>
        <w:pStyle w:val="Default"/>
        <w:rPr>
          <w:sz w:val="22"/>
          <w:szCs w:val="22"/>
        </w:rPr>
      </w:pPr>
    </w:p>
    <w:p w:rsidR="000864EC" w:rsidRPr="00740ECC" w:rsidRDefault="009307FA" w:rsidP="00740E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Kooyman, R. M. and Westoby, M. (2009). Costs of height gain in rainforest saplings: main-stem scaling, functional traits and strategy variation across 75 species. </w:t>
      </w:r>
      <w:r>
        <w:rPr>
          <w:i/>
          <w:iCs/>
          <w:sz w:val="22"/>
          <w:szCs w:val="22"/>
        </w:rPr>
        <w:t>Annals of Botany</w:t>
      </w:r>
      <w:r>
        <w:rPr>
          <w:sz w:val="22"/>
          <w:szCs w:val="22"/>
        </w:rPr>
        <w:t xml:space="preserve">, page mcp185. </w:t>
      </w:r>
      <w:bookmarkStart w:id="0" w:name="_GoBack"/>
      <w:bookmarkEnd w:id="0"/>
    </w:p>
    <w:sectPr w:rsidR="000864EC" w:rsidRPr="0074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FA"/>
    <w:rsid w:val="000864EC"/>
    <w:rsid w:val="00740ECC"/>
    <w:rsid w:val="007A61A5"/>
    <w:rsid w:val="009307FA"/>
    <w:rsid w:val="00A11BD2"/>
    <w:rsid w:val="00D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61EA-3060-4B9A-861B-592AE489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2552</Characters>
  <Application>Microsoft Office Word</Application>
  <DocSecurity>0</DocSecurity>
  <Lines>21</Lines>
  <Paragraphs>5</Paragraphs>
  <ScaleCrop>false</ScaleCrop>
  <Company>Macquarie University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5</cp:revision>
  <dcterms:created xsi:type="dcterms:W3CDTF">2016-05-16T02:22:00Z</dcterms:created>
  <dcterms:modified xsi:type="dcterms:W3CDTF">2016-05-16T03:05:00Z</dcterms:modified>
</cp:coreProperties>
</file>