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r w:rsidR="006901A4">
        <w:t xml:space="preserve">ecohydrology,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p>
    <w:p w14:paraId="59A296E6" w14:textId="7FFACEC4"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hydrology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is functional diversity 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77777777" w:rsidR="00441B1D" w:rsidRPr="00441B1D" w:rsidRDefault="000C4CE9" w:rsidP="00F75551">
      <w:pPr>
        <w:spacing w:line="480" w:lineRule="auto"/>
      </w:pPr>
      <w:r>
        <w:t xml:space="preserve">3.) </w:t>
      </w:r>
      <w:r w:rsidR="00441B1D" w:rsidRPr="00441B1D">
        <w:t>We were able to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4A97B629"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hydrologies,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32564EF4" w14:textId="77777777"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biogeomorphic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rsidR="0017691C">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0017691C" w:rsidRPr="00214E4B">
        <w:rPr>
          <w:noProof/>
        </w:rPr>
        <w:t>(Díaz, Cabido &amp; Casanoves 1998)</w:t>
      </w:r>
      <w:r w:rsidR="0007531A" w:rsidRPr="00B23BE6">
        <w:fldChar w:fldCharType="end"/>
      </w:r>
      <w:r w:rsidR="0017691C" w:rsidRPr="00B23BE6">
        <w:t>.</w:t>
      </w:r>
      <w:r w:rsidR="0017691C">
        <w:t xml:space="preserve"> </w:t>
      </w:r>
    </w:p>
    <w:p w14:paraId="341FA74E" w14:textId="5ECDF8D1"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0017691C" w:rsidRPr="00B73AF2">
        <w:rPr>
          <w:noProof/>
        </w:rPr>
        <w:t>(Connell 1978)</w:t>
      </w:r>
      <w:r w:rsidR="0007531A">
        <w:fldChar w:fldCharType="end"/>
      </w:r>
      <w:r w:rsidR="0017691C">
        <w:t xml:space="preserve"> with respect to the relationship between flooding intensity and taxonomic</w:t>
      </w:r>
      <w:r w:rsidR="00DD6553">
        <w:t xml:space="preserve"> diversity</w:t>
      </w:r>
      <w:r w:rsidR="0017691C">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7531A">
        <w:fldChar w:fldCharType="end"/>
      </w:r>
      <w:r w:rsidR="0017691C">
        <w:t xml:space="preserve">. This 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rsidR="0017691C">
        <w:t xml:space="preserve"> at within-reach scales the </w:t>
      </w:r>
      <w:r w:rsidR="0017691C">
        <w:lastRenderedPageBreak/>
        <w:t xml:space="preserve">geomorphic template is also a strong control on diversity (Bendix 1997, O’Donnell </w:t>
      </w:r>
      <w:r w:rsidR="0017691C" w:rsidRPr="00BA41DB">
        <w:rPr>
          <w:i/>
        </w:rPr>
        <w:t>et al</w:t>
      </w:r>
      <w:r w:rsidR="0017691C">
        <w:t>. 2013). In</w:t>
      </w:r>
      <w:r w:rsidR="00DB32AF">
        <w:t xml:space="preserve"> </w:t>
      </w:r>
      <w:r w:rsidR="0017691C">
        <w:t xml:space="preserve">regions where riparian plants experience periodic water stress, soil moisture availability may be driven largely by hydrology </w:t>
      </w:r>
      <w:r w:rsidR="0007531A"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0017691C" w:rsidRPr="00214E4B">
        <w:rPr>
          <w:noProof/>
        </w:rPr>
        <w:t>(Castelli, Chambers &amp; Tausch 2000; Nilsson &amp; Svedmark 2002)</w:t>
      </w:r>
      <w:r w:rsidR="0007531A" w:rsidRPr="00F04B79">
        <w:fldChar w:fldCharType="end"/>
      </w:r>
      <w:r w:rsidR="0017691C" w:rsidRPr="00F04B79">
        <w:t>.</w:t>
      </w:r>
      <w:r w:rsidR="0017691C">
        <w:t xml:space="preserve"> Seasonal and interannual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7531A">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rsidR="0017691C">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0017691C" w:rsidRPr="005D02FB">
        <w:rPr>
          <w:noProof/>
        </w:rPr>
        <w:t>(Garssen, Verhoeven &amp; Soons 2014)</w:t>
      </w:r>
      <w:r w:rsidR="0007531A">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rsidR="0017691C">
        <w:t xml:space="preserve">. </w:t>
      </w:r>
    </w:p>
    <w:p w14:paraId="3D622BCF" w14:textId="1E45DB8E"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07531A"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07531A"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7A37812F" w14:textId="39B1BB7A" w:rsidR="00A62B96"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aim to describe "the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w:t>
      </w:r>
      <w:r>
        <w:lastRenderedPageBreak/>
        <w:t xml:space="preserve">(the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(FDis)</w:t>
      </w:r>
      <w:r w:rsidR="00F75551" w:rsidRPr="00F75551">
        <w:t xml:space="preserve">, defined as the </w:t>
      </w:r>
      <w:r w:rsidR="00DB71EF">
        <w:t xml:space="preserve">abundance-weighted </w:t>
      </w:r>
      <w:r w:rsidR="00F75551" w:rsidRPr="00F75551">
        <w:t xml:space="preserve">mean distance of individual species to the centroid of all species in the community, represents an improvement on this framework (Laliberte &amp; Legendre 2010). </w:t>
      </w:r>
      <w:r w:rsidR="00F97AE1">
        <w:t>FDis</w:t>
      </w:r>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r w:rsidR="00F97AE1">
        <w:t>FDis</w:t>
      </w:r>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FDis was a useful predictor of all three measured traits (above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3E63D1E0" w14:textId="1581C62E" w:rsidR="0017691C" w:rsidRDefault="00820683" w:rsidP="00F75551">
      <w:pPr>
        <w:spacing w:line="480" w:lineRule="auto"/>
        <w:jc w:val="both"/>
      </w:pPr>
      <w:r>
        <w:t xml:space="preserve">Considerably less is known about drivers of functional diversity than of taxonomic diversity in riparian plant communities.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r w:rsidR="00804D89">
        <w:t>.</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xml:space="preserve">. A </w:t>
      </w:r>
      <w:r w:rsidR="0017691C">
        <w:lastRenderedPageBreak/>
        <w:t>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Benthological Society in 1995, the attendees of a symposium on ecological heterogeneity urged stream researchers to “examine heterogeneity from a functional perspective” </w:t>
      </w:r>
      <w:r w:rsidR="0007531A">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0017691C" w:rsidRPr="00904EB7">
        <w:rPr>
          <w:noProof/>
        </w:rPr>
        <w:t>(Palmer &amp; Poff 1997)</w:t>
      </w:r>
      <w:r w:rsidR="0007531A">
        <w:fldChar w:fldCharType="end"/>
      </w:r>
      <w:r w:rsidR="0017691C">
        <w:t xml:space="preserve">. 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27D6D876"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626D6B">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5DF1BDCC"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272B9033"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(S1</w:t>
      </w:r>
      <w:r w:rsidR="002159D6">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 Lawson </w:t>
      </w:r>
      <w:r w:rsidR="004A7C71" w:rsidRPr="00BA41DB">
        <w:rPr>
          <w:i/>
        </w:rPr>
        <w:t>et al</w:t>
      </w:r>
      <w:r w:rsidR="004A7C71">
        <w:t>. (</w:t>
      </w:r>
      <w:r w:rsidR="004A7C71" w:rsidRPr="00FB0430">
        <w:t>in press</w:t>
      </w:r>
      <w:r w:rsidR="004A7C71">
        <w:t>)</w:t>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11D2F084"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Pr>
          <w:rFonts w:eastAsia="Times New Roman" w:cs="Arial"/>
          <w:lang w:eastAsia="en-AU"/>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6E7C2763"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 xml:space="preserve">2)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w:t>
      </w:r>
      <w:r>
        <w:rPr>
          <w:rFonts w:eastAsia="Times New Roman" w:cs="Arial"/>
          <w:lang w:eastAsia="en-AU"/>
        </w:rPr>
        <w:lastRenderedPageBreak/>
        <w:t xml:space="preserve">variability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(Michaels, Benner &amp; Hartgerink 1988; Westoby 1998)</w:t>
      </w:r>
      <w:r w:rsidR="0007531A">
        <w:rPr>
          <w:rFonts w:eastAsia="Times New Roman" w:cs="Arial"/>
          <w:lang w:eastAsia="en-AU"/>
        </w:rPr>
        <w:fldChar w:fldCharType="end"/>
      </w:r>
      <w:r w:rsidR="0017302A">
        <w:rPr>
          <w:rFonts w:eastAsia="Times New Roman" w:cs="Arial"/>
          <w:lang w:eastAsia="en-AU"/>
        </w:rPr>
        <w:t xml:space="preserve"> and that we are interested in 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(ImageJ 1.48 for Windows).  Leaves were then oven dried at 70</w:t>
      </w:r>
      <w:r w:rsidRPr="006B3539">
        <w:rPr>
          <w:rFonts w:cs="Arial"/>
        </w:rPr>
        <w:t>°C</w:t>
      </w:r>
      <w:r>
        <w:rPr>
          <w:rFonts w:cs="Arial"/>
        </w:rPr>
        <w:t xml:space="preserve"> for 72 hours and weighed </w:t>
      </w:r>
      <w:r w:rsidRPr="006B3539">
        <w:rPr>
          <w:rFonts w:cs="Arial"/>
        </w:rPr>
        <w:t>using a microbalance (Mettler Toledo, Greifensee, Switzerland).</w:t>
      </w:r>
      <w:r>
        <w:rPr>
          <w:rFonts w:cs="Arial"/>
        </w:rPr>
        <w:t xml:space="preserve"> SLA was then calculated as one-sided fresh area divided by oven dry mass. </w:t>
      </w:r>
    </w:p>
    <w:p w14:paraId="136A4BB3" w14:textId="2A5A1132"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xml:space="preserve">. (in press).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34652D81"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lastRenderedPageBreak/>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xml:space="preserve">. (in press). </w:t>
      </w:r>
      <w:r w:rsidR="0017691C">
        <w:t xml:space="preserve">Summary statistics for hydrological metrics are shown in </w:t>
      </w:r>
      <w:r w:rsidR="007A07AA">
        <w:t xml:space="preserve">the </w:t>
      </w:r>
      <w:r w:rsidR="007A07AA" w:rsidRPr="00A57EDD">
        <w:rPr>
          <w:i/>
        </w:rPr>
        <w:t>Supporting Information</w:t>
      </w:r>
      <w:r w:rsidR="00EC7180">
        <w:t xml:space="preserve"> (S</w:t>
      </w:r>
      <w:r w:rsidR="002159D6">
        <w:t>1)</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77777777" w:rsidR="00FB5049" w:rsidRDefault="00FB5049" w:rsidP="00FB5049">
      <w:pPr>
        <w:spacing w:line="480" w:lineRule="auto"/>
        <w:jc w:val="both"/>
      </w:pPr>
      <w:r>
        <w:t xml:space="preserve">We used the </w:t>
      </w:r>
      <w:r w:rsidRPr="00BF0612">
        <w:rPr>
          <w:i/>
        </w:rPr>
        <w:t>dbFD</w:t>
      </w:r>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(FDis). This package implements the method for d</w:t>
      </w:r>
      <w:r w:rsidRPr="00AB7A0F">
        <w:t>istance-based tests for homogeneity of multivariate dispersions</w:t>
      </w:r>
      <w:r>
        <w:t xml:space="preserve"> described by Anderson (2006).  </w:t>
      </w:r>
      <w:r w:rsidRPr="00101536">
        <w:rPr>
          <w:i/>
        </w:rPr>
        <w:t>dbFD</w:t>
      </w:r>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dissimilarity matrix, which can account for missing values, and automatically standardises traits by their ranges; C</w:t>
      </w:r>
      <w:r w:rsidRPr="000170CB">
        <w:t>ailliez</w:t>
      </w:r>
      <w:r>
        <w:t xml:space="preserve">’s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7536071D"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averaged 97%; full data density information including trait specific values are shown in the </w:t>
      </w:r>
      <w:r w:rsidR="007A07AA" w:rsidRPr="00A57EDD">
        <w:rPr>
          <w:i/>
        </w:rPr>
        <w:t>Supporting Information</w:t>
      </w:r>
      <w:r w:rsidR="002159D6">
        <w:t xml:space="preserve"> (S1)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(S</w:t>
      </w:r>
      <w:r w:rsidR="002159D6">
        <w:t>1)</w:t>
      </w:r>
      <w:r>
        <w:t>.</w:t>
      </w:r>
    </w:p>
    <w:p w14:paraId="3A00506C" w14:textId="021D00F6" w:rsidR="00F75551" w:rsidRDefault="00F75551" w:rsidP="00F75551">
      <w:pPr>
        <w:spacing w:line="480" w:lineRule="auto"/>
        <w:jc w:val="both"/>
      </w:pPr>
      <w:r>
        <w:lastRenderedPageBreak/>
        <w:t xml:space="preserve">Following </w:t>
      </w:r>
      <w:r w:rsidR="0007531A">
        <w:fldChar w:fldCharType="begin" w:fldLock="1"/>
      </w:r>
      <w:r w:rsidR="00CC5AB1">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7777777"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xml:space="preserve">. The R code used for these analyses can be retrieved from </w:t>
      </w:r>
      <w:r w:rsidRPr="001149F4">
        <w:t>https://github.com/jamesrlawson/functional-diversity/tree/master/scripts</w:t>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77777777" w:rsidR="00B1781D" w:rsidRDefault="00A0040E" w:rsidP="00F75551">
      <w:pPr>
        <w:spacing w:line="480" w:lineRule="auto"/>
        <w:jc w:val="both"/>
        <w:rPr>
          <w:i/>
        </w:rPr>
      </w:pPr>
      <w:r w:rsidRPr="00D81CEC">
        <w:rPr>
          <w:i/>
        </w:rPr>
        <w:t>Relationships between FDis and hydrological metrics and taxonomic diversity</w:t>
      </w:r>
    </w:p>
    <w:p w14:paraId="06906300" w14:textId="24DACCFD"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r w:rsidR="00F75551">
        <w:t>FDis</w:t>
      </w:r>
      <w:r w:rsidR="00F75551" w:rsidRPr="00EA700F">
        <w:t>. To reduce the occurrence of Type 1 statistical error, we adjusted the resulti</w:t>
      </w:r>
      <w:r w:rsidR="00F75551">
        <w:t>ng p values using the two</w:t>
      </w:r>
      <w:r w:rsidR="00FB5049">
        <w:t>-</w:t>
      </w:r>
      <w:r w:rsidR="00F75551">
        <w:t xml:space="preserve">step Benjamini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multtest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r w:rsidR="00F75551">
        <w:t>This two</w:t>
      </w:r>
      <w:r w:rsidR="00FB5049">
        <w:t>-</w:t>
      </w:r>
      <w:r w:rsidR="00F75551">
        <w:t>step</w:t>
      </w:r>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7531A">
        <w:fldChar w:fldCharType="separate"/>
      </w:r>
      <w:r w:rsidR="00F75551" w:rsidRPr="00AC3ABD">
        <w:rPr>
          <w:noProof/>
        </w:rPr>
        <w:t>(Benjamini &amp; Hochberg 1995)</w:t>
      </w:r>
      <w:r w:rsidR="0007531A">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 xml:space="preserve">e further tested relationships (using OLS regression) between FDis and species richness and Simpson’s diversity (for species used in the </w:t>
      </w:r>
      <w:r>
        <w:lastRenderedPageBreak/>
        <w:t>analysis, present at &gt;1 % cover), and species richness for the full set of 327 sp</w:t>
      </w:r>
      <w:r w:rsidR="00B1781D">
        <w:t xml:space="preserve">ecies identified in the study. </w:t>
      </w:r>
    </w:p>
    <w:p w14:paraId="735AFD43" w14:textId="0147D05D"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variability in seasonal flow. The full set of hydrological metrics was initially screened to remove metrics which were individually determined to have non-significant relationships with FDis.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Multicollinearity was tested for according to the variance inflation factor (VIF) score (HH package, </w:t>
      </w:r>
      <w:r w:rsidR="0007531A">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Akaike’s Information Criterion (AIC) (MuMIn package for R, </w:t>
      </w:r>
      <w:r w:rsidR="0007531A">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t xml:space="preserve">.  Second order AIC is recommended in order to reduce bias when the ratio of sample size to number of predictor variables is small </w:t>
      </w:r>
      <w:r w:rsidR="0007531A">
        <w:fldChar w:fldCharType="begin" w:fldLock="1"/>
      </w:r>
      <w:r w:rsidR="00626D6B">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7531A">
        <w:fldChar w:fldCharType="separate"/>
      </w:r>
      <w:r w:rsidRPr="00AC3ABD">
        <w:rPr>
          <w:noProof/>
        </w:rPr>
        <w:t>(Burnham &amp; Anderson 2002)</w:t>
      </w:r>
      <w:r w:rsidR="0007531A">
        <w:fldChar w:fldCharType="end"/>
      </w:r>
      <w:r>
        <w:t>.</w:t>
      </w:r>
    </w:p>
    <w:p w14:paraId="2E09F31F" w14:textId="77777777" w:rsidR="00B1781D" w:rsidRDefault="00B1781D" w:rsidP="00F75551">
      <w:pPr>
        <w:spacing w:line="480" w:lineRule="auto"/>
      </w:pPr>
    </w:p>
    <w:p w14:paraId="4EC0B936" w14:textId="77777777" w:rsidR="00F75551" w:rsidRDefault="00F75551" w:rsidP="00F75551">
      <w:pPr>
        <w:spacing w:line="480" w:lineRule="auto"/>
      </w:pPr>
      <w:r>
        <w:t>RESULTS</w:t>
      </w:r>
    </w:p>
    <w:p w14:paraId="528E3B5C" w14:textId="3A6E2DB1" w:rsidR="00D94A21" w:rsidRDefault="00F75551" w:rsidP="00D94A21">
      <w:pPr>
        <w:spacing w:line="480" w:lineRule="auto"/>
        <w:jc w:val="both"/>
      </w:pPr>
      <w:r>
        <w:t xml:space="preserve">Below we describe patterns of variation in functional dispersion (FDis) as they relate to the hydrological metrics described in </w:t>
      </w:r>
      <w:r w:rsidRPr="00977F7B">
        <w:t xml:space="preserve">Table </w:t>
      </w:r>
      <w:r w:rsidR="000C20C9">
        <w:t>2</w:t>
      </w:r>
      <w:r>
        <w:t xml:space="preserve">. All models are linear apart from M_MinM and CVMDFSummer, for which a quadratic model (df = 2,12)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(S</w:t>
      </w:r>
      <w:r w:rsidR="002159D6">
        <w:t>1)</w:t>
      </w:r>
      <w:r w:rsidRPr="00D81CEC">
        <w:t>.</w:t>
      </w:r>
      <w:r w:rsidR="00D94A21">
        <w:t xml:space="preserve"> </w:t>
      </w:r>
    </w:p>
    <w:p w14:paraId="0B28F0AD" w14:textId="77777777" w:rsidR="00D657D2" w:rsidRDefault="00D657D2" w:rsidP="00D94A21">
      <w:pPr>
        <w:spacing w:line="480" w:lineRule="auto"/>
        <w:jc w:val="both"/>
      </w:pPr>
    </w:p>
    <w:p w14:paraId="2E680594" w14:textId="77777777" w:rsidR="00BB68C1" w:rsidRPr="00D94A21" w:rsidRDefault="00BB68C1"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lastRenderedPageBreak/>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FDis was significantly </w:t>
      </w:r>
      <w:r w:rsidR="00B740B9">
        <w:t>associated with</w:t>
      </w:r>
      <w:r>
        <w:t xml:space="preserve"> the magnitude of the 20 year average return interval flood (AS20YrARI, Fig</w:t>
      </w:r>
      <w:r w:rsidR="00CD78F8">
        <w:t>. 1a</w:t>
      </w:r>
      <w:r>
        <w:t>, adjusted p = 0.0278, R</w:t>
      </w:r>
      <w:r w:rsidRPr="008639ED">
        <w:rPr>
          <w:vertAlign w:val="superscript"/>
        </w:rPr>
        <w:t>2</w:t>
      </w:r>
      <w:r>
        <w:t xml:space="preserve"> = 0.377). FDis was also significantly </w:t>
      </w:r>
      <w:r w:rsidR="00B740B9">
        <w:t>associated with</w:t>
      </w:r>
      <w:r>
        <w:t xml:space="preserve"> interannual variability in high flow magnitude (CVAnnHSPeak, Fig. </w:t>
      </w:r>
      <w:r w:rsidR="00CD78F8">
        <w:t>1</w:t>
      </w:r>
      <w:r>
        <w:t>b, adjusted p = 0.0152, R</w:t>
      </w:r>
      <w:r w:rsidRPr="00AF51F6">
        <w:rPr>
          <w:vertAlign w:val="superscript"/>
        </w:rPr>
        <w:t>2</w:t>
      </w:r>
      <w:r>
        <w:t xml:space="preserve"> = 0.577) and rates of flow rise (CVAnnMRateRise, Fig. </w:t>
      </w:r>
      <w:r w:rsidR="00CD78F8">
        <w:t>1</w:t>
      </w:r>
      <w:r>
        <w:t>c, adjusted p = 0.0278, R</w:t>
      </w:r>
      <w:r w:rsidRPr="00AF51F6">
        <w:rPr>
          <w:vertAlign w:val="superscript"/>
        </w:rPr>
        <w:t>2</w:t>
      </w:r>
      <w:r>
        <w:t xml:space="preserve"> = 0.403) and fall (CVAnnMRateFall, Fig. </w:t>
      </w:r>
      <w:r w:rsidR="00CD78F8">
        <w:t>1</w:t>
      </w:r>
      <w:r>
        <w:t>d, adjusted p = 0.0278, R</w:t>
      </w:r>
      <w:r w:rsidRPr="00AF51F6">
        <w:rPr>
          <w:vertAlign w:val="superscript"/>
        </w:rPr>
        <w:t>2</w:t>
      </w:r>
      <w:r>
        <w:t xml:space="preserve"> = 0.390), whereas relationships with metrics describing average conditions were not significant (mean high flow magnitude, HSPeak, adjusted p = 0.065; mean flood rise rate, MRateRise,</w:t>
      </w:r>
      <w:r w:rsidRPr="005D3C4D">
        <w:t xml:space="preserve"> </w:t>
      </w:r>
      <w:r>
        <w:t xml:space="preserve">adjusted p = 0.156; mean flood fall rate, MRateFall, adjusted p = 0.157). Likewise, while interannual variability in flood frequency (CVAnnHSNum, Fig. </w:t>
      </w:r>
      <w:r w:rsidR="00CD78F8">
        <w:t>1</w:t>
      </w:r>
      <w:r>
        <w:t>e, adjusted p = 0.0360 R</w:t>
      </w:r>
      <w:r w:rsidRPr="00AF51F6">
        <w:rPr>
          <w:vertAlign w:val="superscript"/>
        </w:rPr>
        <w:t>2</w:t>
      </w:r>
      <w:r>
        <w:t xml:space="preserve"> = 0.296) was significantly associated with FDis, mean annual flood frequency was not (MDFAnnHSNum,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155A44D8" w14:textId="77777777" w:rsidR="00F75551" w:rsidRDefault="00F75551" w:rsidP="00F75551">
      <w:pPr>
        <w:spacing w:line="480" w:lineRule="auto"/>
        <w:jc w:val="both"/>
      </w:pPr>
      <w:r>
        <w:t xml:space="preserve">Functional dispersion was positively associated with variability in seasonal flow patterns throughout the hydrological record. FDis was increased when seasonal patterns of minimum (M_MinM, Fig. </w:t>
      </w:r>
      <w:r w:rsidR="00CD78F8">
        <w:t>2</w:t>
      </w:r>
      <w:r>
        <w:t>a, adjusted p = 0.0278, R</w:t>
      </w:r>
      <w:r w:rsidRPr="00AF51F6">
        <w:rPr>
          <w:vertAlign w:val="superscript"/>
        </w:rPr>
        <w:t>2</w:t>
      </w:r>
      <w:r>
        <w:t xml:space="preserve"> = 0.540), maximum (M_MaxM,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FDis the season with which these flows were associated with was not consistent through the record. FDis was not significantly explained by inter-seasonal uniformity of minimum (Fig. </w:t>
      </w:r>
      <w:r w:rsidR="00CD78F8">
        <w:t>2</w:t>
      </w:r>
      <w:r>
        <w:t>d, C_MinM,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w:t>
      </w:r>
      <w:r>
        <w:lastRenderedPageBreak/>
        <w:t>of flow), with substantially lower FDis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430FC57F" w14:textId="77777777" w:rsidR="00F75551" w:rsidRDefault="00F75551" w:rsidP="00F75551">
      <w:pPr>
        <w:spacing w:line="480" w:lineRule="auto"/>
      </w:pPr>
    </w:p>
    <w:p w14:paraId="4F18675C" w14:textId="77777777" w:rsidR="00F75551" w:rsidRDefault="00F75551" w:rsidP="00B1781D">
      <w:pPr>
        <w:spacing w:line="480" w:lineRule="auto"/>
        <w:jc w:val="both"/>
      </w:pPr>
      <w:r>
        <w:t xml:space="preserve">This observation was corroborated by positive relationships between FDis and variability in mean daily flows for autumn (CVMDFAutumn, Fig. </w:t>
      </w:r>
      <w:r w:rsidR="00CD78F8">
        <w:t>3</w:t>
      </w:r>
      <w:r>
        <w:t>a, adjusted p = 0.0386, R</w:t>
      </w:r>
      <w:r w:rsidRPr="00AF51F6">
        <w:rPr>
          <w:vertAlign w:val="superscript"/>
        </w:rPr>
        <w:t>2</w:t>
      </w:r>
      <w:r>
        <w:t xml:space="preserve"> = 0.301), winter (CVMDFWinter, Fig. </w:t>
      </w:r>
      <w:r w:rsidR="00CD78F8">
        <w:t>3</w:t>
      </w:r>
      <w:r>
        <w:t>b, adjusted p = 0.0278, R</w:t>
      </w:r>
      <w:r w:rsidRPr="00AF51F6">
        <w:rPr>
          <w:vertAlign w:val="superscript"/>
        </w:rPr>
        <w:t>2</w:t>
      </w:r>
      <w:r>
        <w:t xml:space="preserve"> = 0.414) and spring (CVMDFSpring, Fig. </w:t>
      </w:r>
      <w:r w:rsidR="00CD78F8">
        <w:t>3</w:t>
      </w:r>
      <w:r>
        <w:t>c, adjusted p = 0.10325, R</w:t>
      </w:r>
      <w:r w:rsidRPr="00AF51F6">
        <w:rPr>
          <w:vertAlign w:val="superscript"/>
        </w:rPr>
        <w:t>2</w:t>
      </w:r>
      <w:r>
        <w:t xml:space="preserve"> = 0.327). Summer flow variability (CVMDFSummer, Fig. </w:t>
      </w:r>
      <w:r w:rsidR="00CD78F8">
        <w:t>3</w:t>
      </w:r>
      <w:r>
        <w:t>d, adjusted p = 0.0325, R</w:t>
      </w:r>
      <w:r w:rsidRPr="00AF51F6">
        <w:rPr>
          <w:vertAlign w:val="superscript"/>
        </w:rPr>
        <w:t>2</w:t>
      </w:r>
      <w:r>
        <w:t xml:space="preserve"> = 0.472) exhibited a humped relationship with FDis. Mean daily flows for both summer and spring were associated with FDis, however. This association was positive for summer (MDFMDF Summer, Fig. </w:t>
      </w:r>
      <w:r w:rsidR="00CD78F8">
        <w:t>3</w:t>
      </w:r>
      <w:r>
        <w:t>e, adjusted p = 0.0230, R</w:t>
      </w:r>
      <w:r w:rsidRPr="00AF51F6">
        <w:rPr>
          <w:vertAlign w:val="superscript"/>
        </w:rPr>
        <w:t>2</w:t>
      </w:r>
      <w:r>
        <w:t xml:space="preserve"> = 0.503) and negative for spring (MDFMDFSpring,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FDis was highest at sites where average flow is not associated with any particular season (low M_MDFM), these sites still had high values for mean daily flow in summer. Pearson correlation confirms a significant negative relationship between M_MDFM and MDFMDFSummer (Pearson’s r = -0.657,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75E6D6DC" w14:textId="77777777" w:rsidR="00BB68C1" w:rsidRDefault="00BB68C1"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lastRenderedPageBreak/>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1% plot cover), FDis was independent of species richness (p = 0.274, F</w:t>
      </w:r>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1AD6EF61"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w:t>
      </w:r>
      <w:r w:rsidRPr="003F2619">
        <w:t xml:space="preserve">Table </w:t>
      </w:r>
      <w:r w:rsidR="000C20C9">
        <w:t>3</w:t>
      </w:r>
      <w:r w:rsidR="00B1781D">
        <w:t>.</w:t>
      </w:r>
    </w:p>
    <w:p w14:paraId="60BD915A" w14:textId="5777D91E" w:rsidR="00F75551" w:rsidRDefault="00F75551" w:rsidP="00F75551">
      <w:pPr>
        <w:spacing w:line="480" w:lineRule="auto"/>
        <w:jc w:val="both"/>
      </w:pPr>
      <w:r>
        <w:t>Model 12 was determined to be the optimal model according to AICc.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AICc and exhibited multicollinearity. Multicollinearity was determined not to be of importance for Model 12 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term was negative, indicating a diminishing influence on FDis when values of CVAnnHSPeak and MDFMDFSummer are both high. </w:t>
      </w:r>
    </w:p>
    <w:p w14:paraId="5EC75433" w14:textId="77777777" w:rsidR="00CB49DB" w:rsidRDefault="00CB49DB" w:rsidP="00F75551">
      <w:pPr>
        <w:spacing w:line="480" w:lineRule="auto"/>
        <w:jc w:val="both"/>
      </w:pPr>
    </w:p>
    <w:p w14:paraId="503BAF5E" w14:textId="77777777" w:rsidR="00BB68C1" w:rsidRDefault="00BB68C1" w:rsidP="00F75551">
      <w:pPr>
        <w:spacing w:line="480" w:lineRule="auto"/>
        <w:jc w:val="both"/>
      </w:pPr>
    </w:p>
    <w:p w14:paraId="7ADD2EA4" w14:textId="77777777" w:rsidR="00BB68C1" w:rsidRPr="004F4CAC" w:rsidRDefault="00BB68C1" w:rsidP="00F75551">
      <w:pPr>
        <w:spacing w:line="480" w:lineRule="auto"/>
        <w:jc w:val="both"/>
      </w:pPr>
    </w:p>
    <w:p w14:paraId="637E0734" w14:textId="77777777" w:rsidR="00F75551" w:rsidRDefault="00F75551" w:rsidP="00F75551">
      <w:pPr>
        <w:spacing w:line="480" w:lineRule="auto"/>
      </w:pPr>
      <w:r>
        <w:lastRenderedPageBreak/>
        <w:t>DISCUSSION</w:t>
      </w:r>
    </w:p>
    <w:p w14:paraId="74E74A1A" w14:textId="3DBAF7F8"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functional ecology of riparian vegetation communities using multiple quantitative functional traits. The overarching pattern across these relationships can be summarised as “heterogeneous flows </w:t>
      </w:r>
      <w:r w:rsidR="007334E9">
        <w:t xml:space="preserve">foster </w:t>
      </w:r>
      <w:r>
        <w:t>hetereoge</w:t>
      </w:r>
      <w:r w:rsidR="004A7C71">
        <w:t>e</w:t>
      </w:r>
      <w:r>
        <w:t xml:space="preserve">nous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hydrogeomorphic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Because we surveyed geomorphically homoge</w:t>
      </w:r>
      <w:r w:rsidR="004A7C71">
        <w:t>e</w:t>
      </w:r>
      <w:r>
        <w:t xml:space="preserve">nous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these geomorphologically homogen</w:t>
      </w:r>
      <w:r w:rsidR="004A7C71">
        <w:t>e</w:t>
      </w:r>
      <w:r w:rsidR="00247086">
        <w:t xml:space="preserve">ous </w:t>
      </w:r>
      <w:r>
        <w:t>sloping bank sections.</w:t>
      </w:r>
    </w:p>
    <w:p w14:paraId="31ECAF5D" w14:textId="11E4CEF3"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geomorphically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w:t>
      </w:r>
      <w:r w:rsidR="00F75551">
        <w:lastRenderedPageBreak/>
        <w:t xml:space="preserve">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Interannual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45E9C76B" w:rsidR="00F75551" w:rsidRDefault="00F75551" w:rsidP="00D657D2">
      <w:pPr>
        <w:spacing w:line="480" w:lineRule="auto"/>
        <w:jc w:val="both"/>
      </w:pPr>
      <w:r>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t xml:space="preserve"> </w:t>
      </w:r>
      <w:r w:rsidR="007334E9">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Myrtaceae (a dominant family in riparian plant communities of south-eastern Australia) are often staggered where species are sympatric </w:t>
      </w:r>
      <w:r w:rsidR="0007531A">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xml:space="preserve">. High coefficients of variation in seasonal mean </w:t>
      </w:r>
      <w:r>
        <w:lastRenderedPageBreak/>
        <w:t>daily flows may therefore act to temporarily provide species with favourable conditions accord</w:t>
      </w:r>
      <w:r w:rsidR="00B1781D">
        <w:t xml:space="preserve">ing to their seasonal biology. </w:t>
      </w:r>
    </w:p>
    <w:p w14:paraId="6BDB7908" w14:textId="71D00461"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and found no relationship between latitude and FDis</w:t>
      </w:r>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FDis is statistically independent of species richness by construction, in this study functional dispersion was significantly associated with total species richness (as opposed to richness of the set of species used in the FDis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It is difficult to interpret this finding, however, as adding data for rare species to the analysis would necessarily render the new value of FDis independent of total species richness.</w:t>
      </w:r>
    </w:p>
    <w:p w14:paraId="071F869E" w14:textId="77777777" w:rsidR="00F75551" w:rsidRDefault="00F75551" w:rsidP="00F75551">
      <w:pPr>
        <w:spacing w:line="480" w:lineRule="auto"/>
        <w:jc w:val="both"/>
      </w:pPr>
      <w:r>
        <w:t xml:space="preserve">The multiple regression model selected according to AICc explained a high proportion of variation in FDis. This model described functional diversity as a function of variability in flood frequency and magnitude, and in summer mean daily flow. The combination of flow heterogeneity with extra </w:t>
      </w:r>
      <w:r>
        <w:lastRenderedPageBreak/>
        <w:t>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FDis.</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56A9A032" w:rsidR="00F75551" w:rsidRDefault="00F75551" w:rsidP="00F75551">
      <w:pPr>
        <w:spacing w:line="480" w:lineRule="auto"/>
        <w:jc w:val="both"/>
      </w:pPr>
      <w:r>
        <w:t xml:space="preserve">Two sites had anomalous values for FDis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FDis appear to result from dominance of a single species at each site (the medium sized tree </w:t>
      </w:r>
      <w:r w:rsidRPr="00013368">
        <w:rPr>
          <w:i/>
        </w:rPr>
        <w:t xml:space="preserve">Acmena smithii </w:t>
      </w:r>
      <w:r>
        <w:t xml:space="preserve">at Mammy Johnson’s Creek, and the liana </w:t>
      </w:r>
      <w:r w:rsidRPr="00013368">
        <w:rPr>
          <w:i/>
        </w:rPr>
        <w:t>Ripogonum album</w:t>
      </w:r>
      <w:r>
        <w:t xml:space="preserve"> at Jilliby Creek). These sites may represent cases in which species with ‘variability’ specialist strategies have become dominant. </w:t>
      </w:r>
      <w:r w:rsidRPr="00B07DAF">
        <w:rPr>
          <w:i/>
        </w:rPr>
        <w:t xml:space="preserve">Acmena smithii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r w:rsidRPr="007C6152">
        <w:rPr>
          <w:i/>
        </w:rPr>
        <w:t>Ripogonum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7777777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FDis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w:t>
      </w:r>
      <w:r w:rsidR="005A614F" w:rsidRPr="005A614F">
        <w:rPr>
          <w:noProof/>
        </w:rPr>
        <w:lastRenderedPageBreak/>
        <w:t xml:space="preserve">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Mouillot </w:t>
      </w:r>
      <w:r w:rsidR="002B284D" w:rsidRPr="00BA41DB">
        <w:rPr>
          <w:i/>
        </w:rPr>
        <w:t>et al</w:t>
      </w:r>
      <w:r w:rsidR="002B284D">
        <w:t>.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survey communities which experience more extreme hydrologies</w:t>
      </w:r>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Arid zone rivers characterised by ‘all or nothing’ hydrologies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interannual patterns of flow are relatively predictable </w:t>
      </w:r>
      <w:r w:rsidR="0007531A">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7531A">
        <w:fldChar w:fldCharType="end"/>
      </w:r>
      <w:r w:rsidR="005A614F">
        <w:t xml:space="preserve">. </w:t>
      </w:r>
    </w:p>
    <w:p w14:paraId="67F92C2C" w14:textId="26C87875" w:rsidR="00CC2513" w:rsidRDefault="00683504" w:rsidP="00F75551">
      <w:pPr>
        <w:spacing w:line="480" w:lineRule="auto"/>
        <w:jc w:val="both"/>
      </w:pPr>
      <w:r>
        <w:t xml:space="preserve">Unlike other forms of disturbance such as anthropogenic disturbance associated with agricultural land-use 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recurring hydrological disturbance (variability) appears to promote functional diversity in riparian plant communities.</w:t>
      </w:r>
      <w:r w:rsidR="00843FE5">
        <w:t xml:space="preserve"> It seems reasonable to assume that the generative effect of hydrological disturbance on niche heterogeneity is not reproduced by typical anthropogenic disturbances.</w:t>
      </w:r>
    </w:p>
    <w:p w14:paraId="5D208D4B" w14:textId="67AAF35E"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683504">
        <w:fldChar w:fldCharType="separate"/>
      </w:r>
      <w:r w:rsidR="004A4291" w:rsidRPr="004A4291">
        <w:rPr>
          <w:noProof/>
        </w:rPr>
        <w:t>(Graf 2006; Singer 2007)</w:t>
      </w:r>
      <w:r w:rsidR="00683504">
        <w:fldChar w:fldCharType="end"/>
      </w:r>
      <w:r w:rsidR="00683504">
        <w:t xml:space="preserve">. These alterations to flow have ‘terrestrialised’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hydrochorous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 xml:space="preserve">et </w:t>
      </w:r>
      <w:r w:rsidRPr="00F75551">
        <w:rPr>
          <w:i/>
          <w:noProof/>
        </w:rPr>
        <w:lastRenderedPageBreak/>
        <w:t>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river managers typically consider magnitude, frequency and seasonality of flows. </w:t>
      </w:r>
      <w:r w:rsidR="004D7797">
        <w:t>The findings in this paper suggest that also simulating flow regime variability in their designed flows</w:t>
      </w:r>
      <w:r>
        <w:t xml:space="preserve">. </w:t>
      </w:r>
    </w:p>
    <w:p w14:paraId="44D95302" w14:textId="0146252F"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Australia, coinciding with a warming of 0.4 – 0.7 </w:t>
      </w:r>
      <w:r w:rsidR="00F75551" w:rsidRPr="00A13329">
        <w:rPr>
          <w:vertAlign w:val="superscript"/>
        </w:rPr>
        <w:t>o</w:t>
      </w:r>
      <w:r w:rsidR="00F75551">
        <w:t xml:space="preserve">C since 1950 </w:t>
      </w:r>
      <w:r w:rsidR="0007531A">
        <w:fldChar w:fldCharType="begin" w:fldLock="1"/>
      </w:r>
      <w:r w:rsidR="00626D6B">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69ACCA73"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31C625A"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w:t>
      </w:r>
      <w:r w:rsidR="00F75551" w:rsidRPr="003E7A93">
        <w:lastRenderedPageBreak/>
        <w:t xml:space="preserve">study emphasises the importance of </w:t>
      </w:r>
      <w:r w:rsidR="00F75551">
        <w:t>flooding disturbance and hydrological heterogeneity as drivers of functional composition in riparian plant communities</w:t>
      </w:r>
      <w:r w:rsidR="00F75551" w:rsidRPr="003E7A93">
        <w:t xml:space="preserve">. </w:t>
      </w:r>
      <w:r w:rsidR="00F75551">
        <w:t xml:space="preserve">These findings should be </w:t>
      </w:r>
      <w:r w:rsidR="004D7797">
        <w:t xml:space="preserve">applicable </w:t>
      </w:r>
      <w:r w:rsidR="00F75551">
        <w:t>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nival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6A7D3B0D" w14:textId="476766B5" w:rsidR="00774F53" w:rsidRDefault="004D7797" w:rsidP="00F75551">
      <w:pPr>
        <w:spacing w:line="480" w:lineRule="auto"/>
      </w:pPr>
      <w:r w:rsidRPr="00D94A21">
        <w:t>Saskia</w:t>
      </w:r>
      <w:r>
        <w:t xml:space="preserve"> </w:t>
      </w:r>
      <w:r w:rsidRPr="00D94A21">
        <w:t xml:space="preserve">Grootemaat, Ashley Vey, Urvashi Lallu, Julia Atkinson, Sally Lawson and Anthony Manea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r w:rsidRPr="00BA41DB">
        <w:t xml:space="preserve">Macquarie University </w:t>
      </w:r>
      <w:r>
        <w:t>and an Australian Postgraduate Award scholarship to JL</w:t>
      </w:r>
      <w:r w:rsidR="00CB49DB">
        <w:t>.</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53A18F48"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(S2). </w:t>
      </w:r>
    </w:p>
    <w:p w14:paraId="2D7543D1" w14:textId="77777777" w:rsidR="00EC7180" w:rsidRDefault="00EC7180" w:rsidP="00F75551">
      <w:pPr>
        <w:spacing w:line="480" w:lineRule="auto"/>
      </w:pPr>
    </w:p>
    <w:p w14:paraId="00449C8E" w14:textId="77777777" w:rsidR="00EC7180" w:rsidRDefault="00EC7180" w:rsidP="00F75551">
      <w:pPr>
        <w:spacing w:line="480" w:lineRule="auto"/>
      </w:pPr>
    </w:p>
    <w:p w14:paraId="18429026" w14:textId="77777777" w:rsidR="00CB49DB" w:rsidRDefault="00CB49DB" w:rsidP="00F75551">
      <w:pPr>
        <w:spacing w:line="480" w:lineRule="auto"/>
      </w:pPr>
    </w:p>
    <w:p w14:paraId="6336B1B3" w14:textId="77777777" w:rsidR="00774F53" w:rsidRDefault="00774F53" w:rsidP="00F75551">
      <w:pPr>
        <w:spacing w:line="480" w:lineRule="auto"/>
      </w:pPr>
      <w:r>
        <w:lastRenderedPageBreak/>
        <w:t>REFERENCES</w:t>
      </w:r>
    </w:p>
    <w:p w14:paraId="42AE9E03" w14:textId="507C6788" w:rsidR="00626D6B" w:rsidRPr="00626D6B" w:rsidRDefault="0007531A">
      <w:pPr>
        <w:pStyle w:val="NormalWeb"/>
        <w:ind w:left="480" w:hanging="480"/>
        <w:divId w:val="1214807297"/>
        <w:rPr>
          <w:rFonts w:ascii="Calibri" w:hAnsi="Calibri"/>
          <w:noProof/>
          <w:sz w:val="22"/>
        </w:rPr>
      </w:pPr>
      <w:r>
        <w:fldChar w:fldCharType="begin" w:fldLock="1"/>
      </w:r>
      <w:r w:rsidR="00774F53">
        <w:instrText xml:space="preserve">ADDIN Mendeley Bibliography CSL_BIBLIOGRAPHY </w:instrText>
      </w:r>
      <w:r>
        <w:fldChar w:fldCharType="separate"/>
      </w:r>
      <w:r w:rsidR="00626D6B" w:rsidRPr="00626D6B">
        <w:rPr>
          <w:rFonts w:ascii="Calibri" w:hAnsi="Calibri"/>
          <w:noProof/>
          <w:sz w:val="22"/>
        </w:rPr>
        <w:t xml:space="preserve">Aerts R. &amp; Honnay O. (2011) Forest restoration, biodiversity and ecosystem functioning. </w:t>
      </w:r>
      <w:r w:rsidR="00626D6B" w:rsidRPr="00626D6B">
        <w:rPr>
          <w:rFonts w:ascii="Calibri" w:hAnsi="Calibri"/>
          <w:i/>
          <w:iCs/>
          <w:noProof/>
          <w:sz w:val="22"/>
        </w:rPr>
        <w:t>BMC Ecology</w:t>
      </w:r>
      <w:r w:rsidR="00626D6B">
        <w:rPr>
          <w:rFonts w:ascii="Calibri" w:hAnsi="Calibri"/>
          <w:i/>
          <w:iCs/>
          <w:noProof/>
          <w:sz w:val="22"/>
        </w:rPr>
        <w:t>,</w:t>
      </w:r>
      <w:r w:rsidR="00626D6B" w:rsidRPr="00626D6B">
        <w:rPr>
          <w:rFonts w:ascii="Calibri" w:hAnsi="Calibri"/>
          <w:noProof/>
          <w:sz w:val="22"/>
        </w:rPr>
        <w:t xml:space="preserve"> </w:t>
      </w:r>
      <w:r w:rsidR="00626D6B" w:rsidRPr="00626D6B">
        <w:rPr>
          <w:rFonts w:ascii="Calibri" w:hAnsi="Calibri"/>
          <w:b/>
          <w:bCs/>
          <w:noProof/>
          <w:sz w:val="22"/>
        </w:rPr>
        <w:t>11</w:t>
      </w:r>
      <w:r w:rsidR="00626D6B" w:rsidRPr="00626D6B">
        <w:rPr>
          <w:rFonts w:ascii="Calibri" w:hAnsi="Calibri"/>
          <w:noProof/>
          <w:sz w:val="22"/>
        </w:rPr>
        <w:t>, 29.</w:t>
      </w:r>
    </w:p>
    <w:p w14:paraId="3FF0AE22"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Arthington A., Mackay S., James C., Rolls R., Sternberg D., Barnes A., </w:t>
      </w:r>
      <w:r w:rsidRPr="00626D6B">
        <w:rPr>
          <w:rFonts w:ascii="Calibri" w:hAnsi="Calibri"/>
          <w:i/>
          <w:iCs/>
          <w:noProof/>
          <w:sz w:val="22"/>
        </w:rPr>
        <w:t>et al.</w:t>
      </w:r>
      <w:r w:rsidRPr="00626D6B">
        <w:rPr>
          <w:rFonts w:ascii="Calibri" w:hAnsi="Calibri"/>
          <w:noProof/>
          <w:sz w:val="22"/>
        </w:rPr>
        <w:t xml:space="preserve"> (2012) Ecological limits of hydrologic alteration: a test of the ELoHA framework in south-east Queensland. Waterlines Report Series No. 75. </w:t>
      </w:r>
      <w:r w:rsidRPr="00626D6B">
        <w:rPr>
          <w:rFonts w:ascii="Calibri" w:hAnsi="Calibri"/>
          <w:i/>
          <w:iCs/>
          <w:noProof/>
          <w:sz w:val="22"/>
        </w:rPr>
        <w:t>National Water Commission, Canberra, Australia</w:t>
      </w:r>
      <w:r w:rsidRPr="00626D6B">
        <w:rPr>
          <w:rFonts w:ascii="Calibri" w:hAnsi="Calibri"/>
          <w:noProof/>
          <w:sz w:val="22"/>
        </w:rPr>
        <w:t>.</w:t>
      </w:r>
    </w:p>
    <w:p w14:paraId="0F552E6A" w14:textId="0C4F820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Arthington A.H., Naiman R.J., McClain M.E. &amp; Nilsson C. (2010) Preserving the biodiversity and ecological services of rivers: new challenges and research opportunities. </w:t>
      </w:r>
      <w:r w:rsidRPr="00626D6B">
        <w:rPr>
          <w:rFonts w:ascii="Calibri" w:hAnsi="Calibri"/>
          <w:i/>
          <w:iCs/>
          <w:noProof/>
          <w:sz w:val="22"/>
        </w:rPr>
        <w:t>Freshwater Biology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55</w:t>
      </w:r>
      <w:r w:rsidRPr="00626D6B">
        <w:rPr>
          <w:rFonts w:ascii="Calibri" w:hAnsi="Calibri"/>
          <w:noProof/>
          <w:sz w:val="22"/>
        </w:rPr>
        <w:t>, 1–16.</w:t>
      </w:r>
    </w:p>
    <w:p w14:paraId="51E246BD" w14:textId="1D053DD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Ashton D. &amp; Frankenberg J. (1976) Ecological Studies of Acmena smithi with special reference to Wilson’s Promontory.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24</w:t>
      </w:r>
      <w:r w:rsidRPr="00626D6B">
        <w:rPr>
          <w:rFonts w:ascii="Calibri" w:hAnsi="Calibri"/>
          <w:noProof/>
          <w:sz w:val="22"/>
        </w:rPr>
        <w:t>, 453–487.</w:t>
      </w:r>
    </w:p>
    <w:p w14:paraId="70C09D45" w14:textId="64DB8A7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Baker W. (1990) Species richness of Colorado riparian vegetation. </w:t>
      </w:r>
      <w:r w:rsidRPr="00626D6B">
        <w:rPr>
          <w:rFonts w:ascii="Calibri" w:hAnsi="Calibri"/>
          <w:i/>
          <w:iCs/>
          <w:noProof/>
          <w:sz w:val="22"/>
        </w:rPr>
        <w:t>Journal of Vegetation 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 119–124.</w:t>
      </w:r>
    </w:p>
    <w:p w14:paraId="285E4D63"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Barton K. (2012) MuMIn: multi-model inference. </w:t>
      </w:r>
      <w:r w:rsidRPr="00626D6B">
        <w:rPr>
          <w:rFonts w:ascii="Calibri" w:hAnsi="Calibri"/>
          <w:i/>
          <w:iCs/>
          <w:noProof/>
          <w:sz w:val="22"/>
        </w:rPr>
        <w:t>R package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44CBA967" w14:textId="5D24366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Beardsell D., Obrien S. &amp; Williams E. (1993) Reproductive biology of Australian Myrtaceae.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41</w:t>
      </w:r>
      <w:r w:rsidRPr="00626D6B">
        <w:rPr>
          <w:rFonts w:ascii="Calibri" w:hAnsi="Calibri"/>
          <w:noProof/>
          <w:sz w:val="22"/>
        </w:rPr>
        <w:t>, 511–526.</w:t>
      </w:r>
    </w:p>
    <w:p w14:paraId="542EB779" w14:textId="499D72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Bendix J. (1997) Flood disturbance and the distribution of riparian diversity. </w:t>
      </w:r>
      <w:r w:rsidRPr="00626D6B">
        <w:rPr>
          <w:rFonts w:ascii="Calibri" w:hAnsi="Calibri"/>
          <w:i/>
          <w:iCs/>
          <w:noProof/>
          <w:sz w:val="22"/>
        </w:rPr>
        <w:t>Geographical Review</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87</w:t>
      </w:r>
      <w:r w:rsidRPr="00626D6B">
        <w:rPr>
          <w:rFonts w:ascii="Calibri" w:hAnsi="Calibri"/>
          <w:noProof/>
          <w:sz w:val="22"/>
        </w:rPr>
        <w:t>, 468–483.</w:t>
      </w:r>
    </w:p>
    <w:p w14:paraId="1F417BBE" w14:textId="6994C5A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Bendix J. &amp; Hupp C. (2000) Hydrological and geomorphological impacts on riparian plant communities. </w:t>
      </w:r>
      <w:r w:rsidRPr="00626D6B">
        <w:rPr>
          <w:rFonts w:ascii="Calibri" w:hAnsi="Calibri"/>
          <w:i/>
          <w:iCs/>
          <w:noProof/>
          <w:sz w:val="22"/>
        </w:rPr>
        <w:t>Hydrological Processes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14</w:t>
      </w:r>
      <w:r w:rsidRPr="00626D6B">
        <w:rPr>
          <w:rFonts w:ascii="Calibri" w:hAnsi="Calibri"/>
          <w:noProof/>
          <w:sz w:val="22"/>
        </w:rPr>
        <w:t>, 2977–2990.</w:t>
      </w:r>
    </w:p>
    <w:p w14:paraId="2E34F93F" w14:textId="40721AB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Benjamini Y. &amp; Hochberg Y. (1995) Controlling the false discovery rate: a practical and powerful approach to multiple testing. </w:t>
      </w:r>
      <w:r w:rsidRPr="00626D6B">
        <w:rPr>
          <w:rFonts w:ascii="Calibri" w:hAnsi="Calibri"/>
          <w:i/>
          <w:iCs/>
          <w:noProof/>
          <w:sz w:val="22"/>
        </w:rPr>
        <w:t>Journal of the Royal Statistical Society. Series B (Methodological)</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57</w:t>
      </w:r>
      <w:r w:rsidRPr="00626D6B">
        <w:rPr>
          <w:rFonts w:ascii="Calibri" w:hAnsi="Calibri"/>
          <w:noProof/>
          <w:sz w:val="22"/>
        </w:rPr>
        <w:t>, 289–300.</w:t>
      </w:r>
    </w:p>
    <w:p w14:paraId="414ABBD4" w14:textId="61C662D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Benjamini Y., Krieger A. &amp; Yekutieli D. (2006) Adaptive linear step-up procedures that control the false discovery rate. </w:t>
      </w:r>
      <w:r w:rsidRPr="00626D6B">
        <w:rPr>
          <w:rFonts w:ascii="Calibri" w:hAnsi="Calibri"/>
          <w:i/>
          <w:iCs/>
          <w:noProof/>
          <w:sz w:val="22"/>
        </w:rPr>
        <w:t>Biometrika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93</w:t>
      </w:r>
      <w:r w:rsidRPr="00626D6B">
        <w:rPr>
          <w:rFonts w:ascii="Calibri" w:hAnsi="Calibri"/>
          <w:noProof/>
          <w:sz w:val="22"/>
        </w:rPr>
        <w:t>, 491–507.</w:t>
      </w:r>
    </w:p>
    <w:p w14:paraId="6B149AF7" w14:textId="7D86409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Biswas S. &amp; Mallik A. (2010) Disturbance effects on species diversity and functional diversity in riparian and upland plant communities. </w:t>
      </w:r>
      <w:r w:rsidRPr="00626D6B">
        <w:rPr>
          <w:rFonts w:ascii="Calibri" w:hAnsi="Calibri"/>
          <w:i/>
          <w:iCs/>
          <w:noProof/>
          <w:sz w:val="22"/>
        </w:rPr>
        <w:t>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91</w:t>
      </w:r>
      <w:r w:rsidRPr="00626D6B">
        <w:rPr>
          <w:rFonts w:ascii="Calibri" w:hAnsi="Calibri"/>
          <w:noProof/>
          <w:sz w:val="22"/>
        </w:rPr>
        <w:t>, 28–35.</w:t>
      </w:r>
    </w:p>
    <w:p w14:paraId="1089E59A" w14:textId="775D7B4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Bornette G., Tabacchi E., Hupp C., Puijalon S. &amp; Rostan J.C. (2008) A model of plant strategies in fluvial hydrosystems. </w:t>
      </w:r>
      <w:r w:rsidRPr="00626D6B">
        <w:rPr>
          <w:rFonts w:ascii="Calibri" w:hAnsi="Calibri"/>
          <w:i/>
          <w:iCs/>
          <w:noProof/>
          <w:sz w:val="22"/>
        </w:rPr>
        <w:t>Freshwater Biology</w:t>
      </w:r>
      <w:r>
        <w:rPr>
          <w:rFonts w:ascii="Calibri" w:hAnsi="Calibri"/>
          <w:noProof/>
          <w:sz w:val="22"/>
        </w:rPr>
        <w:t xml:space="preserve">, </w:t>
      </w:r>
      <w:r w:rsidRPr="00626D6B">
        <w:rPr>
          <w:rFonts w:ascii="Calibri" w:hAnsi="Calibri"/>
          <w:b/>
          <w:bCs/>
          <w:noProof/>
          <w:sz w:val="22"/>
        </w:rPr>
        <w:t>53</w:t>
      </w:r>
      <w:r w:rsidRPr="00626D6B">
        <w:rPr>
          <w:rFonts w:ascii="Calibri" w:hAnsi="Calibri"/>
          <w:noProof/>
          <w:sz w:val="22"/>
        </w:rPr>
        <w:t>, 1692–1705.</w:t>
      </w:r>
    </w:p>
    <w:p w14:paraId="1539FFC4"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Burnham K.P. &amp; Anderson D.R. (2002) </w:t>
      </w:r>
      <w:r w:rsidRPr="00626D6B">
        <w:rPr>
          <w:rFonts w:ascii="Calibri" w:hAnsi="Calibri"/>
          <w:i/>
          <w:iCs/>
          <w:noProof/>
          <w:sz w:val="22"/>
        </w:rPr>
        <w:t>Model selection and multimodel inference: a practical information-theoretic approach</w:t>
      </w:r>
      <w:r w:rsidRPr="00626D6B">
        <w:rPr>
          <w:rFonts w:ascii="Calibri" w:hAnsi="Calibri"/>
          <w:noProof/>
          <w:sz w:val="22"/>
        </w:rPr>
        <w:t>. Springer, New York City.</w:t>
      </w:r>
    </w:p>
    <w:p w14:paraId="6D15CC3B" w14:textId="09DE9DB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Cadotte M.W., Carscadden K. &amp; Mirotchnick N. (2011) Beyond species: functional diversity and the maintenance of ecological processes and services. </w:t>
      </w:r>
      <w:r w:rsidRPr="00626D6B">
        <w:rPr>
          <w:rFonts w:ascii="Calibri" w:hAnsi="Calibri"/>
          <w:i/>
          <w:iCs/>
          <w:noProof/>
          <w:sz w:val="22"/>
        </w:rPr>
        <w:t>Journal of Applied 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1079–1087.</w:t>
      </w:r>
    </w:p>
    <w:p w14:paraId="7848DEF4" w14:textId="5555D9A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Cai Z.-Q., Schnitzer S.A. &amp; Bongers F. (2009) Seasonal differences in leaf-level physiology give lianas a competitive advantage over trees in a tropical seasonal forest. </w:t>
      </w:r>
      <w:r w:rsidRPr="00626D6B">
        <w:rPr>
          <w:rFonts w:ascii="Calibri" w:hAnsi="Calibri"/>
          <w:i/>
          <w:iCs/>
          <w:noProof/>
          <w:sz w:val="22"/>
        </w:rPr>
        <w:t>Oecologia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161</w:t>
      </w:r>
      <w:r w:rsidRPr="00626D6B">
        <w:rPr>
          <w:rFonts w:ascii="Calibri" w:hAnsi="Calibri"/>
          <w:noProof/>
          <w:sz w:val="22"/>
        </w:rPr>
        <w:t>, 25–33.</w:t>
      </w:r>
    </w:p>
    <w:p w14:paraId="1E9E29A8" w14:textId="0055436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Cailliez F. (1983) The analytical solution of the additive constant problem. </w:t>
      </w:r>
      <w:r w:rsidRPr="00626D6B">
        <w:rPr>
          <w:rFonts w:ascii="Calibri" w:hAnsi="Calibri"/>
          <w:i/>
          <w:iCs/>
          <w:noProof/>
          <w:sz w:val="22"/>
        </w:rPr>
        <w:t>Psychometrika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305–308.</w:t>
      </w:r>
    </w:p>
    <w:p w14:paraId="34B0E4FA" w14:textId="6636FCF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Castelli R., Chambers J. &amp; Tausch R. (2000) Soil-plant relations along a soil-water gradient in Great Basin riparian meadows. </w:t>
      </w:r>
      <w:r w:rsidRPr="00626D6B">
        <w:rPr>
          <w:rFonts w:ascii="Calibri" w:hAnsi="Calibri"/>
          <w:i/>
          <w:iCs/>
          <w:noProof/>
          <w:sz w:val="22"/>
        </w:rPr>
        <w:t>Wetlands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251–266.</w:t>
      </w:r>
    </w:p>
    <w:p w14:paraId="014D2796" w14:textId="325F2B2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Downes B.J., Gippel C.J. &amp; Vesk P.A. (2011) Flow regulation reduces native plant cover and facilitates exotic invasion in riparian wetlands. </w:t>
      </w:r>
      <w:r w:rsidRPr="00626D6B">
        <w:rPr>
          <w:rFonts w:ascii="Calibri" w:hAnsi="Calibri"/>
          <w:i/>
          <w:iCs/>
          <w:noProof/>
          <w:sz w:val="22"/>
        </w:rPr>
        <w:t>Journal of Applied 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432–442.</w:t>
      </w:r>
    </w:p>
    <w:p w14:paraId="07F45407" w14:textId="3E01C96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626D6B">
        <w:rPr>
          <w:rFonts w:ascii="Calibri" w:hAnsi="Calibri"/>
          <w:i/>
          <w:iCs/>
          <w:noProof/>
          <w:sz w:val="22"/>
        </w:rPr>
        <w:t>Diversity and Distributions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1–13.</w:t>
      </w:r>
    </w:p>
    <w:p w14:paraId="43483C4D" w14:textId="4E51EEA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Naiman R.J., Chambers L.E., Roberts J., Douglas M. &amp; Davies P. (2012) Predicting novel riparian ecosystems in a changing climate. </w:t>
      </w:r>
      <w:r w:rsidRPr="00626D6B">
        <w:rPr>
          <w:rFonts w:ascii="Calibri" w:hAnsi="Calibri"/>
          <w:i/>
          <w:iCs/>
          <w:noProof/>
          <w:sz w:val="22"/>
        </w:rPr>
        <w:t>Ecosystems</w:t>
      </w:r>
      <w:r>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382–400.</w:t>
      </w:r>
    </w:p>
    <w:p w14:paraId="453E3E4F" w14:textId="63C7EEE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Chave J., Coomes D., Jansen S., Lewis S.L., Swenson N.G. &amp; Zanne A.E. (2009) Towards a worldwide wood economics spectrum. </w:t>
      </w:r>
      <w:r w:rsidRPr="00626D6B">
        <w:rPr>
          <w:rFonts w:ascii="Calibri" w:hAnsi="Calibri"/>
          <w:i/>
          <w:iCs/>
          <w:noProof/>
          <w:sz w:val="22"/>
        </w:rPr>
        <w:t>Ecology Letters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12</w:t>
      </w:r>
      <w:r w:rsidRPr="00626D6B">
        <w:rPr>
          <w:rFonts w:ascii="Calibri" w:hAnsi="Calibri"/>
          <w:noProof/>
          <w:sz w:val="22"/>
        </w:rPr>
        <w:t>, 351–366.</w:t>
      </w:r>
    </w:p>
    <w:p w14:paraId="7FE9473E" w14:textId="04741E9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Clark C.M., Flynn D.F.B., Butterfield B.J. &amp; Reich P.B. (2012) Testing the link between functional diversity and ecosystem functioning in a Minnesota grassland experiment. </w:t>
      </w:r>
      <w:r w:rsidRPr="00626D6B">
        <w:rPr>
          <w:rFonts w:ascii="Calibri" w:hAnsi="Calibri"/>
          <w:i/>
          <w:iCs/>
          <w:noProof/>
          <w:sz w:val="22"/>
        </w:rPr>
        <w:t>PloS One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w:t>
      </w:r>
      <w:r w:rsidRPr="00626D6B">
        <w:rPr>
          <w:rFonts w:ascii="Calibri" w:hAnsi="Calibri"/>
          <w:noProof/>
          <w:sz w:val="22"/>
        </w:rPr>
        <w:t>, e52821.</w:t>
      </w:r>
    </w:p>
    <w:p w14:paraId="335F20F7" w14:textId="1970D5F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Connell J. (1978) Diversity in tropical rain forests and coral reefs. </w:t>
      </w:r>
      <w:r w:rsidRPr="00626D6B">
        <w:rPr>
          <w:rFonts w:ascii="Calibri" w:hAnsi="Calibri"/>
          <w:i/>
          <w:iCs/>
          <w:noProof/>
          <w:sz w:val="22"/>
        </w:rPr>
        <w:t>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199</w:t>
      </w:r>
      <w:r w:rsidRPr="00626D6B">
        <w:rPr>
          <w:rFonts w:ascii="Calibri" w:hAnsi="Calibri"/>
          <w:noProof/>
          <w:sz w:val="22"/>
        </w:rPr>
        <w:t>, 1302–1310.</w:t>
      </w:r>
    </w:p>
    <w:p w14:paraId="63807EEB" w14:textId="0E22016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626D6B">
        <w:rPr>
          <w:rFonts w:ascii="Calibri" w:hAnsi="Calibri"/>
          <w:i/>
          <w:iCs/>
          <w:noProof/>
          <w:sz w:val="22"/>
        </w:rPr>
        <w:t>Earth-Science Reviews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84</w:t>
      </w:r>
      <w:r w:rsidRPr="00626D6B">
        <w:rPr>
          <w:rFonts w:ascii="Calibri" w:hAnsi="Calibri"/>
          <w:noProof/>
          <w:sz w:val="22"/>
        </w:rPr>
        <w:t>, 56–86.</w:t>
      </w:r>
    </w:p>
    <w:p w14:paraId="5391D962" w14:textId="5F89BA3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Cornelissen J.H.C.A., Lavorel S.B., Garnier E.B., Díaz S.C., Buchmann N.D., Gurvich D.E.C., </w:t>
      </w:r>
      <w:r w:rsidRPr="00626D6B">
        <w:rPr>
          <w:rFonts w:ascii="Calibri" w:hAnsi="Calibri"/>
          <w:i/>
          <w:iCs/>
          <w:noProof/>
          <w:sz w:val="22"/>
        </w:rPr>
        <w:t>et al.</w:t>
      </w:r>
      <w:r w:rsidRPr="00626D6B">
        <w:rPr>
          <w:rFonts w:ascii="Calibri" w:hAnsi="Calibri"/>
          <w:noProof/>
          <w:sz w:val="22"/>
        </w:rPr>
        <w:t xml:space="preserve"> (2003) A handbook of protocols for standardised and easy measurement of plant functional traits worldwide.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51</w:t>
      </w:r>
      <w:r w:rsidRPr="00626D6B">
        <w:rPr>
          <w:rFonts w:ascii="Calibri" w:hAnsi="Calibri"/>
          <w:noProof/>
          <w:sz w:val="22"/>
        </w:rPr>
        <w:t>, 335–380.</w:t>
      </w:r>
    </w:p>
    <w:p w14:paraId="1D4D608B" w14:textId="05F02A3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Debastiani V.J. &amp; Pillar V.D. (2012) SYNCSA - R tool for analysis of metacommunities based on functional traits and phylogeny of the community components. </w:t>
      </w:r>
      <w:r w:rsidRPr="00626D6B">
        <w:rPr>
          <w:rFonts w:ascii="Calibri" w:hAnsi="Calibri"/>
          <w:i/>
          <w:iCs/>
          <w:noProof/>
          <w:sz w:val="22"/>
        </w:rPr>
        <w:t>Bioinformatics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2067–2068.</w:t>
      </w:r>
    </w:p>
    <w:p w14:paraId="3C7D631A" w14:textId="7F7A5A4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Dı́az S. &amp; Cabido M. (2001) Vive la différence : plant functional diversity matters to ecosystem processes. </w:t>
      </w:r>
      <w:r w:rsidRPr="00626D6B">
        <w:rPr>
          <w:rFonts w:ascii="Calibri" w:hAnsi="Calibri"/>
          <w:i/>
          <w:iCs/>
          <w:noProof/>
          <w:sz w:val="22"/>
        </w:rPr>
        <w:t>Trends in Ecology &amp; Evolution</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646–655.</w:t>
      </w:r>
    </w:p>
    <w:p w14:paraId="314FB589" w14:textId="3C6DFD6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Díaz S., Cabido M. &amp; Casanoves F. (1998) Plant functional traits and environmental filters at a regional scale. </w:t>
      </w:r>
      <w:r w:rsidRPr="00626D6B">
        <w:rPr>
          <w:rFonts w:ascii="Calibri" w:hAnsi="Calibri"/>
          <w:i/>
          <w:iCs/>
          <w:noProof/>
          <w:sz w:val="22"/>
        </w:rPr>
        <w:t>Journal of Vegetation 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w:t>
      </w:r>
      <w:r w:rsidRPr="00626D6B">
        <w:rPr>
          <w:rFonts w:ascii="Calibri" w:hAnsi="Calibri"/>
          <w:noProof/>
          <w:sz w:val="22"/>
        </w:rPr>
        <w:t>, 113–122.</w:t>
      </w:r>
    </w:p>
    <w:p w14:paraId="59F4217C" w14:textId="02AF5CA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Díaz S. &amp; Lavorel S. (2007) Incorporating plant functional diversity effects in ecosystem service assessments. </w:t>
      </w:r>
      <w:r w:rsidRPr="00626D6B">
        <w:rPr>
          <w:rFonts w:ascii="Calibri" w:hAnsi="Calibri"/>
          <w:i/>
          <w:iCs/>
          <w:noProof/>
          <w:sz w:val="22"/>
        </w:rPr>
        <w:t>Proceedings of the National Academy of Sciences of the United States of America</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104</w:t>
      </w:r>
      <w:r w:rsidRPr="00626D6B">
        <w:rPr>
          <w:rFonts w:ascii="Calibri" w:hAnsi="Calibri"/>
          <w:noProof/>
          <w:sz w:val="22"/>
        </w:rPr>
        <w:t>, 20684–20689.</w:t>
      </w:r>
    </w:p>
    <w:p w14:paraId="05B56E4A" w14:textId="6BED04F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Falster D.S. (2006) Sapling strength and safety: the importance of wood density in tropical forests. </w:t>
      </w:r>
      <w:r w:rsidRPr="00626D6B">
        <w:rPr>
          <w:rFonts w:ascii="Calibri" w:hAnsi="Calibri"/>
          <w:i/>
          <w:iCs/>
          <w:noProof/>
          <w:sz w:val="22"/>
        </w:rPr>
        <w:t>New Phytologist</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171</w:t>
      </w:r>
      <w:r w:rsidRPr="00626D6B">
        <w:rPr>
          <w:rFonts w:ascii="Calibri" w:hAnsi="Calibri"/>
          <w:noProof/>
          <w:sz w:val="22"/>
        </w:rPr>
        <w:t>, 237–239.</w:t>
      </w:r>
    </w:p>
    <w:p w14:paraId="1C54B10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Finlayson B.L. &amp; McMahon T.A. (1988) </w:t>
      </w:r>
      <w:r w:rsidRPr="00626D6B">
        <w:rPr>
          <w:rFonts w:ascii="Calibri" w:hAnsi="Calibri"/>
          <w:i/>
          <w:iCs/>
          <w:noProof/>
          <w:sz w:val="22"/>
        </w:rPr>
        <w:t>Australia vs. the world: a comparative analysis of streamflow characteristics</w:t>
      </w:r>
      <w:r w:rsidRPr="00626D6B">
        <w:rPr>
          <w:rFonts w:ascii="Calibri" w:hAnsi="Calibri"/>
          <w:noProof/>
          <w:sz w:val="22"/>
        </w:rPr>
        <w:t>. Academic Press, Sydney.</w:t>
      </w:r>
    </w:p>
    <w:p w14:paraId="7817159A" w14:textId="685F5C5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Ford H.A., Paton D.C. &amp; Forde N. (1979) Birds as pollinators of Australian plants. </w:t>
      </w:r>
      <w:r w:rsidRPr="00626D6B">
        <w:rPr>
          <w:rFonts w:ascii="Calibri" w:hAnsi="Calibri"/>
          <w:i/>
          <w:iCs/>
          <w:noProof/>
          <w:sz w:val="22"/>
        </w:rPr>
        <w:t>New Zealand Journal of Botany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w:t>
      </w:r>
      <w:r w:rsidRPr="00626D6B">
        <w:rPr>
          <w:rFonts w:ascii="Calibri" w:hAnsi="Calibri"/>
          <w:noProof/>
          <w:sz w:val="22"/>
        </w:rPr>
        <w:t>, 509–519.</w:t>
      </w:r>
    </w:p>
    <w:p w14:paraId="28A4B586" w14:textId="1CEB35A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Garssen A.G., Verhoeven J.T.A. &amp; Soons M.B. (2014) Effects of climate-induced increases in summer drought on riparian plant species: a meta-analysis. </w:t>
      </w:r>
      <w:r w:rsidRPr="00626D6B">
        <w:rPr>
          <w:rFonts w:ascii="Calibri" w:hAnsi="Calibri"/>
          <w:i/>
          <w:iCs/>
          <w:noProof/>
          <w:sz w:val="22"/>
        </w:rPr>
        <w:t>Freshwater Biology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59</w:t>
      </w:r>
      <w:r w:rsidRPr="00626D6B">
        <w:rPr>
          <w:rFonts w:ascii="Calibri" w:hAnsi="Calibri"/>
          <w:noProof/>
          <w:sz w:val="22"/>
        </w:rPr>
        <w:t>, 1052–1063.</w:t>
      </w:r>
    </w:p>
    <w:p w14:paraId="51D4A3D4" w14:textId="129864D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Gower J. (1971) A general coefficient of similarity and some of its properties. </w:t>
      </w:r>
      <w:r w:rsidRPr="00626D6B">
        <w:rPr>
          <w:rFonts w:ascii="Calibri" w:hAnsi="Calibri"/>
          <w:i/>
          <w:iCs/>
          <w:noProof/>
          <w:sz w:val="22"/>
        </w:rPr>
        <w:t>Biometrics</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w:t>
      </w:r>
      <w:r w:rsidRPr="00626D6B">
        <w:rPr>
          <w:rFonts w:ascii="Calibri" w:hAnsi="Calibri"/>
          <w:noProof/>
          <w:sz w:val="22"/>
        </w:rPr>
        <w:t>, 857–871.</w:t>
      </w:r>
    </w:p>
    <w:p w14:paraId="659DE729" w14:textId="3D5C4D8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Graf W. (2006) Downstream hydrologic and geomorphic effects of large dams on American rivers. </w:t>
      </w:r>
      <w:r w:rsidRPr="00626D6B">
        <w:rPr>
          <w:rFonts w:ascii="Calibri" w:hAnsi="Calibri"/>
          <w:i/>
          <w:iCs/>
          <w:noProof/>
          <w:sz w:val="22"/>
        </w:rPr>
        <w:t>Geomorphology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79</w:t>
      </w:r>
      <w:r w:rsidRPr="00626D6B">
        <w:rPr>
          <w:rFonts w:ascii="Calibri" w:hAnsi="Calibri"/>
          <w:noProof/>
          <w:sz w:val="22"/>
        </w:rPr>
        <w:t>, 336–360.</w:t>
      </w:r>
    </w:p>
    <w:p w14:paraId="75BA065A" w14:textId="014B8AD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Greet J., Angus Webb J. &amp; Cousens R.D. (2011) The importance of seasonal flow timing for riparian vegetation dynamics: a systematic review using causal criteria analysis. </w:t>
      </w:r>
      <w:r w:rsidRPr="00626D6B">
        <w:rPr>
          <w:rFonts w:ascii="Calibri" w:hAnsi="Calibri"/>
          <w:i/>
          <w:iCs/>
          <w:noProof/>
          <w:sz w:val="22"/>
        </w:rPr>
        <w:t>Freshwater Biology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56</w:t>
      </w:r>
      <w:r w:rsidRPr="00626D6B">
        <w:rPr>
          <w:rFonts w:ascii="Calibri" w:hAnsi="Calibri"/>
          <w:noProof/>
          <w:sz w:val="22"/>
        </w:rPr>
        <w:t>, 1231–1247.</w:t>
      </w:r>
    </w:p>
    <w:p w14:paraId="7C92B19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Heiberger R.M. &amp; Holland B. (2004) </w:t>
      </w:r>
      <w:r w:rsidRPr="00626D6B">
        <w:rPr>
          <w:rFonts w:ascii="Calibri" w:hAnsi="Calibri"/>
          <w:i/>
          <w:iCs/>
          <w:noProof/>
          <w:sz w:val="22"/>
        </w:rPr>
        <w:t>Statistical analysis and data display: an intermediate course with examples in S-Plus, R, and SAS</w:t>
      </w:r>
      <w:r w:rsidRPr="00626D6B">
        <w:rPr>
          <w:rFonts w:ascii="Calibri" w:hAnsi="Calibri"/>
          <w:noProof/>
          <w:sz w:val="22"/>
        </w:rPr>
        <w:t>. Springer, New York City.</w:t>
      </w:r>
    </w:p>
    <w:p w14:paraId="22B2DFB8" w14:textId="3181F0D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Hennessy K., Fawcett R., Kirono D., Mpelasoka M., Jones D., Bathols J., </w:t>
      </w:r>
      <w:r w:rsidRPr="00626D6B">
        <w:rPr>
          <w:rFonts w:ascii="Calibri" w:hAnsi="Calibri"/>
          <w:i/>
          <w:iCs/>
          <w:noProof/>
          <w:sz w:val="22"/>
        </w:rPr>
        <w:t>et al.</w:t>
      </w:r>
      <w:r w:rsidRPr="00626D6B">
        <w:rPr>
          <w:rFonts w:ascii="Calibri" w:hAnsi="Calibri"/>
          <w:noProof/>
          <w:sz w:val="22"/>
        </w:rPr>
        <w:t xml:space="preserve"> (2008) </w:t>
      </w:r>
      <w:r w:rsidRPr="00626D6B">
        <w:rPr>
          <w:rFonts w:ascii="Calibri" w:hAnsi="Calibri"/>
          <w:i/>
          <w:iCs/>
          <w:noProof/>
          <w:sz w:val="22"/>
        </w:rPr>
        <w:t>An assessment of the impact of climate change on the nature and frequency of exceptional climatic events. Australian Government, Bureau of Meterology</w:t>
      </w:r>
      <w:r w:rsidRPr="00626D6B">
        <w:rPr>
          <w:rFonts w:ascii="Calibri" w:hAnsi="Calibri"/>
          <w:noProof/>
          <w:sz w:val="22"/>
        </w:rPr>
        <w:t>. Department of Agriculture, Fisheries and Forestry, Canberra, Australia.</w:t>
      </w:r>
    </w:p>
    <w:p w14:paraId="433D59CE"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Hennessy K., Fitzharris B., Bates B.C., Harvey N., Howden S., Hughes L., </w:t>
      </w:r>
      <w:r w:rsidRPr="00626D6B">
        <w:rPr>
          <w:rFonts w:ascii="Calibri" w:hAnsi="Calibri"/>
          <w:i/>
          <w:iCs/>
          <w:noProof/>
          <w:sz w:val="22"/>
        </w:rPr>
        <w:t>et al.</w:t>
      </w:r>
      <w:r w:rsidRPr="00626D6B">
        <w:rPr>
          <w:rFonts w:ascii="Calibri" w:hAnsi="Calibri"/>
          <w:noProof/>
          <w:sz w:val="22"/>
        </w:rPr>
        <w:t xml:space="preserve"> (2007) </w:t>
      </w:r>
      <w:r w:rsidRPr="00626D6B">
        <w:rPr>
          <w:rFonts w:ascii="Calibri" w:hAnsi="Calibri"/>
          <w:i/>
          <w:iCs/>
          <w:noProof/>
          <w:sz w:val="22"/>
        </w:rPr>
        <w:t>Climate Change 2007: Impacts, Adaptation and Vulnerability. Contribution of Working Group II to the Fourth Assessment Report of the Intergovernmental Panel on Climate Change</w:t>
      </w:r>
      <w:r w:rsidRPr="00626D6B">
        <w:rPr>
          <w:rFonts w:ascii="Calibri" w:hAnsi="Calibri"/>
          <w:noProof/>
          <w:sz w:val="22"/>
        </w:rPr>
        <w:t>. (Eds M. Parry, O. Canziani, J. Palutikof, P. van der Linden &amp; C. Hanson), Cambridge University Press, Cambridge.</w:t>
      </w:r>
    </w:p>
    <w:p w14:paraId="23AB0403" w14:textId="700A72CD"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Hooper D., Chapin F. &amp; Ewel J. (2005) Effects of biodiversity on ecosystem functioning: a consensus of current knowledge. </w:t>
      </w:r>
      <w:r w:rsidRPr="00626D6B">
        <w:rPr>
          <w:rFonts w:ascii="Calibri" w:hAnsi="Calibri"/>
          <w:i/>
          <w:iCs/>
          <w:noProof/>
          <w:sz w:val="22"/>
        </w:rPr>
        <w:t>Ecological Monographs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75</w:t>
      </w:r>
      <w:r w:rsidRPr="00626D6B">
        <w:rPr>
          <w:rFonts w:ascii="Calibri" w:hAnsi="Calibri"/>
          <w:noProof/>
          <w:sz w:val="22"/>
        </w:rPr>
        <w:t>, 3–35.</w:t>
      </w:r>
    </w:p>
    <w:p w14:paraId="72C5A833" w14:textId="301990A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Howell J. &amp; Benson D. (2000) Predicting potential impacts of environmental flows on weedy riparian vegetation of the Hawkesbury–Nepean River, south</w:t>
      </w:r>
      <w:r w:rsidRPr="00626D6B">
        <w:rPr>
          <w:rFonts w:ascii="Calibri" w:hAnsi="Calibri" w:cs="Cambria Math"/>
          <w:noProof/>
          <w:sz w:val="22"/>
        </w:rPr>
        <w:t>‐</w:t>
      </w:r>
      <w:r w:rsidRPr="00626D6B">
        <w:rPr>
          <w:rFonts w:ascii="Calibri" w:hAnsi="Calibri"/>
          <w:noProof/>
          <w:sz w:val="22"/>
        </w:rPr>
        <w:t xml:space="preserve">eastern Australia. </w:t>
      </w:r>
      <w:r w:rsidRPr="00626D6B">
        <w:rPr>
          <w:rFonts w:ascii="Calibri" w:hAnsi="Calibri"/>
          <w:i/>
          <w:iCs/>
          <w:noProof/>
          <w:sz w:val="22"/>
        </w:rPr>
        <w:t>Austral 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25</w:t>
      </w:r>
      <w:r w:rsidRPr="00626D6B">
        <w:rPr>
          <w:rFonts w:ascii="Calibri" w:hAnsi="Calibri"/>
          <w:noProof/>
          <w:sz w:val="22"/>
        </w:rPr>
        <w:t>, 463–475.</w:t>
      </w:r>
    </w:p>
    <w:p w14:paraId="23D2A6D0" w14:textId="7DDF56E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Huang X. &amp; Niemann J. (2006) An evaluation of the geomorphically effective event for fluvial processes over long periods. </w:t>
      </w:r>
      <w:r w:rsidRPr="00626D6B">
        <w:rPr>
          <w:rFonts w:ascii="Calibri" w:hAnsi="Calibri"/>
          <w:i/>
          <w:iCs/>
          <w:noProof/>
          <w:sz w:val="22"/>
        </w:rPr>
        <w:t>Journal of Geophysical Research</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111</w:t>
      </w:r>
      <w:r w:rsidRPr="00626D6B">
        <w:rPr>
          <w:rFonts w:ascii="Calibri" w:hAnsi="Calibri"/>
          <w:noProof/>
          <w:sz w:val="22"/>
        </w:rPr>
        <w:t>, F03015.</w:t>
      </w:r>
    </w:p>
    <w:p w14:paraId="63563DD2" w14:textId="2F9E5EE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Huston M. (1979) A general hypothesis of species diversity. </w:t>
      </w:r>
      <w:r w:rsidRPr="00626D6B">
        <w:rPr>
          <w:rFonts w:ascii="Calibri" w:hAnsi="Calibri"/>
          <w:i/>
          <w:iCs/>
          <w:noProof/>
          <w:sz w:val="22"/>
        </w:rPr>
        <w:t>American Naturalist</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113</w:t>
      </w:r>
      <w:r w:rsidRPr="00626D6B">
        <w:rPr>
          <w:rFonts w:ascii="Calibri" w:hAnsi="Calibri"/>
          <w:noProof/>
          <w:sz w:val="22"/>
        </w:rPr>
        <w:t>, 81–101.</w:t>
      </w:r>
    </w:p>
    <w:p w14:paraId="7E8E8D55" w14:textId="6C34D8A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Kennard M.J., Pusey B.J., Olden J.D., Mackay S.J., Stein J.L. &amp; Marsh N. (2010) Classification of natural flow regimes in Australia to support environmental flow management. </w:t>
      </w:r>
      <w:r w:rsidRPr="00626D6B">
        <w:rPr>
          <w:rFonts w:ascii="Calibri" w:hAnsi="Calibri"/>
          <w:i/>
          <w:iCs/>
          <w:noProof/>
          <w:sz w:val="22"/>
        </w:rPr>
        <w:t>Freshwater Biology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55</w:t>
      </w:r>
      <w:r w:rsidRPr="00626D6B">
        <w:rPr>
          <w:rFonts w:ascii="Calibri" w:hAnsi="Calibri"/>
          <w:noProof/>
          <w:sz w:val="22"/>
        </w:rPr>
        <w:t>, 171–193.</w:t>
      </w:r>
    </w:p>
    <w:p w14:paraId="3DD0F33C" w14:textId="1456EA6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Laliberté E. &amp; Legendre P. (2010) A distance-based framework for measuring functional diversity from multiple traits. </w:t>
      </w:r>
      <w:r w:rsidRPr="00626D6B">
        <w:rPr>
          <w:rFonts w:ascii="Calibri" w:hAnsi="Calibri"/>
          <w:i/>
          <w:iCs/>
          <w:noProof/>
          <w:sz w:val="22"/>
        </w:rPr>
        <w:t>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91</w:t>
      </w:r>
      <w:r w:rsidRPr="00626D6B">
        <w:rPr>
          <w:rFonts w:ascii="Calibri" w:hAnsi="Calibri"/>
          <w:noProof/>
          <w:sz w:val="22"/>
        </w:rPr>
        <w:t>, 299–305.</w:t>
      </w:r>
    </w:p>
    <w:p w14:paraId="14101A4B" w14:textId="1009BCC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Laliberté E., Wells J.A., Declerck F., Metcalfe D.J., Catterall C.P., Queiroz C., </w:t>
      </w:r>
      <w:r w:rsidRPr="00626D6B">
        <w:rPr>
          <w:rFonts w:ascii="Calibri" w:hAnsi="Calibri"/>
          <w:i/>
          <w:iCs/>
          <w:noProof/>
          <w:sz w:val="22"/>
        </w:rPr>
        <w:t>et al.</w:t>
      </w:r>
      <w:r w:rsidRPr="00626D6B">
        <w:rPr>
          <w:rFonts w:ascii="Calibri" w:hAnsi="Calibri"/>
          <w:noProof/>
          <w:sz w:val="22"/>
        </w:rPr>
        <w:t xml:space="preserve"> (2010) Land-use intensification reduces functional redundancy and response diversity in plant communities. </w:t>
      </w:r>
      <w:r w:rsidRPr="00626D6B">
        <w:rPr>
          <w:rFonts w:ascii="Calibri" w:hAnsi="Calibri"/>
          <w:i/>
          <w:iCs/>
          <w:noProof/>
          <w:sz w:val="22"/>
        </w:rPr>
        <w:t>Ecology Letters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13</w:t>
      </w:r>
      <w:r w:rsidRPr="00626D6B">
        <w:rPr>
          <w:rFonts w:ascii="Calibri" w:hAnsi="Calibri"/>
          <w:noProof/>
          <w:sz w:val="22"/>
        </w:rPr>
        <w:t>, 76–86.</w:t>
      </w:r>
    </w:p>
    <w:p w14:paraId="48CD6C63" w14:textId="25CA8F4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Laurance W. &amp; Pérez-Salicrup D. (2001) Rain forest fragmentation and the structure of Amazonian liana communities. </w:t>
      </w:r>
      <w:r w:rsidRPr="00626D6B">
        <w:rPr>
          <w:rFonts w:ascii="Calibri" w:hAnsi="Calibri"/>
          <w:i/>
          <w:iCs/>
          <w:noProof/>
          <w:sz w:val="22"/>
        </w:rPr>
        <w:t>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82</w:t>
      </w:r>
      <w:r w:rsidRPr="00626D6B">
        <w:rPr>
          <w:rFonts w:ascii="Calibri" w:hAnsi="Calibri"/>
          <w:noProof/>
          <w:sz w:val="22"/>
        </w:rPr>
        <w:t>, 105–116.</w:t>
      </w:r>
    </w:p>
    <w:p w14:paraId="0BC3F433"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Leishman M., Wright I., Moles A. &amp; Westoby M. (2000) </w:t>
      </w:r>
      <w:r w:rsidRPr="00626D6B">
        <w:rPr>
          <w:rFonts w:ascii="Calibri" w:hAnsi="Calibri"/>
          <w:i/>
          <w:iCs/>
          <w:noProof/>
          <w:sz w:val="22"/>
        </w:rPr>
        <w:t>The evolutionary ecology of seed size</w:t>
      </w:r>
      <w:r w:rsidRPr="00626D6B">
        <w:rPr>
          <w:rFonts w:ascii="Calibri" w:hAnsi="Calibri"/>
          <w:noProof/>
          <w:sz w:val="22"/>
        </w:rPr>
        <w:t>, 2</w:t>
      </w:r>
      <w:r w:rsidRPr="002623DE">
        <w:rPr>
          <w:rFonts w:ascii="Calibri" w:hAnsi="Calibri"/>
          <w:noProof/>
          <w:sz w:val="22"/>
          <w:vertAlign w:val="superscript"/>
        </w:rPr>
        <w:t>nd</w:t>
      </w:r>
      <w:r w:rsidRPr="00626D6B">
        <w:rPr>
          <w:rFonts w:ascii="Calibri" w:hAnsi="Calibri"/>
          <w:noProof/>
          <w:sz w:val="22"/>
        </w:rPr>
        <w:t xml:space="preserve"> edn. (Ed. M. Fenner), CAB International, Wallingford.</w:t>
      </w:r>
    </w:p>
    <w:p w14:paraId="777C0105" w14:textId="34970F8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Leps J., Bello F. De, Lavorel S. &amp; Berman S. (2006) Quantifying and interpreting functional diversity of natural communities: practical considerations matter. </w:t>
      </w:r>
      <w:r w:rsidRPr="00626D6B">
        <w:rPr>
          <w:rFonts w:ascii="Calibri" w:hAnsi="Calibri"/>
          <w:i/>
          <w:iCs/>
          <w:noProof/>
          <w:sz w:val="22"/>
        </w:rPr>
        <w:t>Preslia</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78</w:t>
      </w:r>
      <w:r w:rsidRPr="00626D6B">
        <w:rPr>
          <w:rFonts w:ascii="Calibri" w:hAnsi="Calibri"/>
          <w:noProof/>
          <w:sz w:val="22"/>
        </w:rPr>
        <w:t>, 481–501.</w:t>
      </w:r>
    </w:p>
    <w:p w14:paraId="6B401B5E" w14:textId="7697564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626D6B">
        <w:rPr>
          <w:rFonts w:ascii="Calibri" w:hAnsi="Calibri"/>
          <w:i/>
          <w:iCs/>
          <w:noProof/>
          <w:sz w:val="22"/>
        </w:rPr>
        <w:t>Journal of Arid Environments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63</w:t>
      </w:r>
      <w:r w:rsidRPr="00626D6B">
        <w:rPr>
          <w:rFonts w:ascii="Calibri" w:hAnsi="Calibri"/>
          <w:noProof/>
          <w:sz w:val="22"/>
        </w:rPr>
        <w:t>, 785–813.</w:t>
      </w:r>
    </w:p>
    <w:p w14:paraId="1566DD69"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Marsh N.A., Stewardson M.J. &amp; Kennard M.J. (2003) River Analysis Package. Cooperative Research Centre for Catchment Hydrology, Monash University Melbourne. </w:t>
      </w:r>
      <w:r w:rsidRPr="00626D6B">
        <w:rPr>
          <w:rFonts w:ascii="Calibri" w:hAnsi="Calibri"/>
          <w:i/>
          <w:iCs/>
          <w:noProof/>
          <w:sz w:val="22"/>
        </w:rPr>
        <w:t>Software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2648CD27" w14:textId="53C2344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Melick D. (1990) Regenerative succession of </w:t>
      </w:r>
      <w:r w:rsidRPr="00DA37B0">
        <w:rPr>
          <w:rFonts w:ascii="Calibri" w:hAnsi="Calibri"/>
          <w:i/>
          <w:noProof/>
          <w:sz w:val="22"/>
        </w:rPr>
        <w:t>Tristaniopsis laurina</w:t>
      </w:r>
      <w:r w:rsidRPr="00626D6B">
        <w:rPr>
          <w:rFonts w:ascii="Calibri" w:hAnsi="Calibri"/>
          <w:noProof/>
          <w:sz w:val="22"/>
        </w:rPr>
        <w:t xml:space="preserve"> and </w:t>
      </w:r>
      <w:r w:rsidRPr="00DA37B0">
        <w:rPr>
          <w:rFonts w:ascii="Calibri" w:hAnsi="Calibri"/>
          <w:i/>
          <w:noProof/>
          <w:sz w:val="22"/>
        </w:rPr>
        <w:t>Acmena smithii</w:t>
      </w:r>
      <w:r w:rsidRPr="00626D6B">
        <w:rPr>
          <w:rFonts w:ascii="Calibri" w:hAnsi="Calibri"/>
          <w:noProof/>
          <w:sz w:val="22"/>
        </w:rPr>
        <w:t xml:space="preserve"> in riparian warm temperate rain-forest in Victoria, in relation to light and nutrient regimes. </w:t>
      </w:r>
      <w:r w:rsidRPr="00626D6B">
        <w:rPr>
          <w:rFonts w:ascii="Calibri" w:hAnsi="Calibri"/>
          <w:i/>
          <w:iCs/>
          <w:noProof/>
          <w:sz w:val="22"/>
        </w:rPr>
        <w:t>Australian Journal of Botany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38</w:t>
      </w:r>
      <w:r w:rsidRPr="00626D6B">
        <w:rPr>
          <w:rFonts w:ascii="Calibri" w:hAnsi="Calibri"/>
          <w:noProof/>
          <w:sz w:val="22"/>
        </w:rPr>
        <w:t>, 111–120.</w:t>
      </w:r>
    </w:p>
    <w:p w14:paraId="51F319FF" w14:textId="746B94B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Merritt D., Nilsson C. &amp; Jansson R. (2010) Consequences of propagule dispersal and river fragmentation for riparian plant community diversity and turnover. </w:t>
      </w:r>
      <w:r w:rsidRPr="00626D6B">
        <w:rPr>
          <w:rFonts w:ascii="Calibri" w:hAnsi="Calibri"/>
          <w:i/>
          <w:iCs/>
          <w:noProof/>
          <w:sz w:val="22"/>
        </w:rPr>
        <w:t>Ecological Monographs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80</w:t>
      </w:r>
      <w:r w:rsidRPr="00626D6B">
        <w:rPr>
          <w:rFonts w:ascii="Calibri" w:hAnsi="Calibri"/>
          <w:noProof/>
          <w:sz w:val="22"/>
        </w:rPr>
        <w:t>, 609–626.</w:t>
      </w:r>
    </w:p>
    <w:p w14:paraId="76393AC1" w14:textId="36469C0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Michaels H., Benner B. &amp; Hartgerink A. (1988) Seed size variation: magnitude, distribution, and ecological correlates. </w:t>
      </w:r>
      <w:r w:rsidRPr="00626D6B">
        <w:rPr>
          <w:rFonts w:ascii="Calibri" w:hAnsi="Calibri"/>
          <w:i/>
          <w:iCs/>
          <w:noProof/>
          <w:sz w:val="22"/>
        </w:rPr>
        <w:t>Evolutionary 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w:t>
      </w:r>
      <w:r w:rsidRPr="00626D6B">
        <w:rPr>
          <w:rFonts w:ascii="Calibri" w:hAnsi="Calibri"/>
          <w:noProof/>
          <w:sz w:val="22"/>
        </w:rPr>
        <w:t>, 157–166.</w:t>
      </w:r>
    </w:p>
    <w:p w14:paraId="0C8FE644" w14:textId="7369F2F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Montoya D., Rogers L. &amp; Memmott J. (2012) Emerging perspectives in the restoration of biodiversity-based ecosystem services. </w:t>
      </w:r>
      <w:r w:rsidRPr="00626D6B">
        <w:rPr>
          <w:rFonts w:ascii="Calibri" w:hAnsi="Calibri"/>
          <w:i/>
          <w:iCs/>
          <w:noProof/>
          <w:sz w:val="22"/>
        </w:rPr>
        <w:t>Trends in Ecology &amp; Evolution</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w:t>
      </w:r>
      <w:r w:rsidRPr="00626D6B">
        <w:rPr>
          <w:rFonts w:ascii="Calibri" w:hAnsi="Calibri"/>
          <w:noProof/>
          <w:sz w:val="22"/>
        </w:rPr>
        <w:t>, 666–72.</w:t>
      </w:r>
    </w:p>
    <w:p w14:paraId="078184C4" w14:textId="388A95B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Mouillot D., Graham N.A.J., Villéger S., Mason N.W.H. &amp; Bellwood D.R. (2013) A functional approach reveals community responses to disturbances. </w:t>
      </w:r>
      <w:r w:rsidRPr="00626D6B">
        <w:rPr>
          <w:rFonts w:ascii="Calibri" w:hAnsi="Calibri"/>
          <w:i/>
          <w:iCs/>
          <w:noProof/>
          <w:sz w:val="22"/>
        </w:rPr>
        <w:t>Trends in Ecology &amp; Evolution</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167–77.</w:t>
      </w:r>
    </w:p>
    <w:p w14:paraId="0ECF0050" w14:textId="4D339FE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Naiman R. &amp; Decamps H. (1997) The ecology of interfaces: riparian zones. </w:t>
      </w:r>
      <w:r w:rsidRPr="00626D6B">
        <w:rPr>
          <w:rFonts w:ascii="Calibri" w:hAnsi="Calibri"/>
          <w:i/>
          <w:iCs/>
          <w:noProof/>
          <w:sz w:val="22"/>
        </w:rPr>
        <w:t>Annual Review of Ecology and Systematics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621–658.</w:t>
      </w:r>
    </w:p>
    <w:p w14:paraId="364BBDE0" w14:textId="06B6F7B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Naiman R., Decamps H. &amp; Pollock M. (1993) The role of riparian corridors in maintaining regional biodiversity. </w:t>
      </w:r>
      <w:r w:rsidRPr="00626D6B">
        <w:rPr>
          <w:rFonts w:ascii="Calibri" w:hAnsi="Calibri"/>
          <w:i/>
          <w:iCs/>
          <w:noProof/>
          <w:sz w:val="22"/>
        </w:rPr>
        <w:t>Ecological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w:t>
      </w:r>
      <w:r w:rsidRPr="00626D6B">
        <w:rPr>
          <w:rFonts w:ascii="Calibri" w:hAnsi="Calibri"/>
          <w:noProof/>
          <w:sz w:val="22"/>
        </w:rPr>
        <w:t>, 209–212.</w:t>
      </w:r>
    </w:p>
    <w:p w14:paraId="12C018CA" w14:textId="4E0BA68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Nepstad D., Tohver I., Ray D., Moutinho P. &amp; Cardinot G. (2007) Mortality of large trees and lianas following experimental drought in an Amazon forest.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88</w:t>
      </w:r>
      <w:r w:rsidRPr="00626D6B">
        <w:rPr>
          <w:rFonts w:ascii="Calibri" w:hAnsi="Calibri"/>
          <w:noProof/>
          <w:sz w:val="22"/>
        </w:rPr>
        <w:t>, 2259–2269.</w:t>
      </w:r>
    </w:p>
    <w:p w14:paraId="6E83ABC3" w14:textId="5824533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Nilsson C., Grelsson G., Johansson M. &amp; Sperens U. (1989) Patterns of plant species richness along riverbanks.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70</w:t>
      </w:r>
      <w:r w:rsidRPr="00626D6B">
        <w:rPr>
          <w:rFonts w:ascii="Calibri" w:hAnsi="Calibri"/>
          <w:noProof/>
          <w:sz w:val="22"/>
        </w:rPr>
        <w:t>, 77–84.</w:t>
      </w:r>
    </w:p>
    <w:p w14:paraId="4C614263" w14:textId="5F8B706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Nilsson C. &amp; Svedmark M. (2002) Basic principles and ecological consequences of changing water regimes: riparian plant communities. </w:t>
      </w:r>
      <w:r w:rsidRPr="00626D6B">
        <w:rPr>
          <w:rFonts w:ascii="Calibri" w:hAnsi="Calibri"/>
          <w:i/>
          <w:iCs/>
          <w:noProof/>
          <w:sz w:val="22"/>
        </w:rPr>
        <w:t>Environmental Management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30</w:t>
      </w:r>
      <w:r w:rsidRPr="00626D6B">
        <w:rPr>
          <w:rFonts w:ascii="Calibri" w:hAnsi="Calibri"/>
          <w:noProof/>
          <w:sz w:val="22"/>
        </w:rPr>
        <w:t>, 468–480.</w:t>
      </w:r>
    </w:p>
    <w:p w14:paraId="4A3CB531" w14:textId="7F01C6A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Pakeman R.J. (2011) Functional diversity indices reveal the impacts of land use intensification on plant community assembly. </w:t>
      </w:r>
      <w:r w:rsidRPr="00626D6B">
        <w:rPr>
          <w:rFonts w:ascii="Calibri" w:hAnsi="Calibri"/>
          <w:i/>
          <w:iCs/>
          <w:noProof/>
          <w:sz w:val="22"/>
        </w:rPr>
        <w:t>Journal of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99</w:t>
      </w:r>
      <w:r w:rsidRPr="00626D6B">
        <w:rPr>
          <w:rFonts w:ascii="Calibri" w:hAnsi="Calibri"/>
          <w:noProof/>
          <w:sz w:val="22"/>
        </w:rPr>
        <w:t>, 1143–1151.</w:t>
      </w:r>
    </w:p>
    <w:p w14:paraId="160001DA" w14:textId="5AD72B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Pakeman R.J. (2014) Functional trait metrics are sensitive to the completeness of the species’ trait data? </w:t>
      </w:r>
      <w:r w:rsidRPr="00626D6B">
        <w:rPr>
          <w:rFonts w:ascii="Calibri" w:hAnsi="Calibri"/>
          <w:i/>
          <w:iCs/>
          <w:noProof/>
          <w:sz w:val="22"/>
        </w:rPr>
        <w:t>Methods in Ecology and Evolution</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w:t>
      </w:r>
      <w:r w:rsidRPr="00626D6B">
        <w:rPr>
          <w:rFonts w:ascii="Calibri" w:hAnsi="Calibri"/>
          <w:noProof/>
          <w:sz w:val="22"/>
        </w:rPr>
        <w:t>, 9–15.</w:t>
      </w:r>
    </w:p>
    <w:p w14:paraId="1953D500" w14:textId="70A3D56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Palmer M. &amp; Poff N. (1997) The influence of environmental heterogeneity on patterns and processes in streams. </w:t>
      </w:r>
      <w:r w:rsidRPr="00626D6B">
        <w:rPr>
          <w:rFonts w:ascii="Calibri" w:hAnsi="Calibri"/>
          <w:i/>
          <w:iCs/>
          <w:noProof/>
          <w:sz w:val="22"/>
        </w:rPr>
        <w:t>Journal of the North American Benthological Society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169–173.</w:t>
      </w:r>
    </w:p>
    <w:p w14:paraId="401F1B72" w14:textId="72213EF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Peel M., McMahon T. &amp; Finlayson B. (2004) Continental differences in the variability of annual runoff-update and reassessment. </w:t>
      </w:r>
      <w:r w:rsidRPr="00626D6B">
        <w:rPr>
          <w:rFonts w:ascii="Calibri" w:hAnsi="Calibri"/>
          <w:i/>
          <w:iCs/>
          <w:noProof/>
          <w:sz w:val="22"/>
        </w:rPr>
        <w:t>Journal of Hydrology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295</w:t>
      </w:r>
      <w:r w:rsidRPr="00626D6B">
        <w:rPr>
          <w:rFonts w:ascii="Calibri" w:hAnsi="Calibri"/>
          <w:noProof/>
          <w:sz w:val="22"/>
        </w:rPr>
        <w:t>, 185–197.</w:t>
      </w:r>
    </w:p>
    <w:p w14:paraId="046CB1F8" w14:textId="7B79C8B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Poff N., Allan J. &amp; Bain M. (1997) The natural flow regime. </w:t>
      </w:r>
      <w:r w:rsidRPr="00626D6B">
        <w:rPr>
          <w:rFonts w:ascii="Calibri" w:hAnsi="Calibri"/>
          <w:i/>
          <w:iCs/>
          <w:noProof/>
          <w:sz w:val="22"/>
        </w:rPr>
        <w:t>BioScience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47</w:t>
      </w:r>
      <w:r w:rsidRPr="00626D6B">
        <w:rPr>
          <w:rFonts w:ascii="Calibri" w:hAnsi="Calibri"/>
          <w:noProof/>
          <w:sz w:val="22"/>
        </w:rPr>
        <w:t>, 769–784.</w:t>
      </w:r>
    </w:p>
    <w:p w14:paraId="58F42A7E" w14:textId="2089817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Poff N.L. (2002) Ecological response to and management of increased flooding caused by climate change. </w:t>
      </w:r>
      <w:r w:rsidRPr="00626D6B">
        <w:rPr>
          <w:rFonts w:ascii="Calibri" w:hAnsi="Calibri"/>
          <w:i/>
          <w:iCs/>
          <w:noProof/>
          <w:sz w:val="22"/>
        </w:rPr>
        <w:t>Philosophical Transactions of the Royal Society of London. Series A, Mathematical, Physical, and Engineering 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360</w:t>
      </w:r>
      <w:r w:rsidRPr="00626D6B">
        <w:rPr>
          <w:rFonts w:ascii="Calibri" w:hAnsi="Calibri"/>
          <w:noProof/>
          <w:sz w:val="22"/>
        </w:rPr>
        <w:t>, 1497–510.</w:t>
      </w:r>
    </w:p>
    <w:p w14:paraId="2A0F14D8" w14:textId="1BBDB27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Pollard K.S., Ge Y. &amp; Dudoit S. (2008) multtest: Resampling-based multiple hypothesis testing. </w:t>
      </w:r>
      <w:r w:rsidRPr="00626D6B">
        <w:rPr>
          <w:rFonts w:ascii="Calibri" w:hAnsi="Calibri"/>
          <w:i/>
          <w:iCs/>
          <w:noProof/>
          <w:sz w:val="22"/>
        </w:rPr>
        <w:t xml:space="preserve">R </w:t>
      </w:r>
      <w:r w:rsidR="00541905">
        <w:rPr>
          <w:rFonts w:ascii="Calibri" w:hAnsi="Calibri"/>
          <w:i/>
          <w:iCs/>
          <w:noProof/>
          <w:sz w:val="22"/>
        </w:rPr>
        <w:t>P</w:t>
      </w:r>
      <w:r w:rsidRPr="00626D6B">
        <w:rPr>
          <w:rFonts w:ascii="Calibri" w:hAnsi="Calibri"/>
          <w:i/>
          <w:iCs/>
          <w:noProof/>
          <w:sz w:val="22"/>
        </w:rPr>
        <w:t>ackage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1F9F599E" w14:textId="4600971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Preston K.A., Cornwell W.K. &amp; Denoyer J.L. (2006) Wood density and vessel traits as distinct correlates of ecological strategy in 51 California coast range angiosperms. </w:t>
      </w:r>
      <w:r w:rsidRPr="00626D6B">
        <w:rPr>
          <w:rFonts w:ascii="Calibri" w:hAnsi="Calibri"/>
          <w:i/>
          <w:iCs/>
          <w:noProof/>
          <w:sz w:val="22"/>
        </w:rPr>
        <w:t>New Phytologist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170</w:t>
      </w:r>
      <w:r w:rsidRPr="00626D6B">
        <w:rPr>
          <w:rFonts w:ascii="Calibri" w:hAnsi="Calibri"/>
          <w:noProof/>
          <w:sz w:val="22"/>
        </w:rPr>
        <w:t>, 807–18.</w:t>
      </w:r>
    </w:p>
    <w:p w14:paraId="3F3DD04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R Core Team (2013) R: A Language and Environment for Statistical Computing.</w:t>
      </w:r>
    </w:p>
    <w:p w14:paraId="416AF686" w14:textId="31A5B7F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Reich P. &amp; Wright I. (2003) The evolution of plant functional variation: traits, spectra, and strategies. </w:t>
      </w:r>
      <w:r w:rsidRPr="00626D6B">
        <w:rPr>
          <w:rFonts w:ascii="Calibri" w:hAnsi="Calibri"/>
          <w:i/>
          <w:iCs/>
          <w:noProof/>
          <w:sz w:val="22"/>
        </w:rPr>
        <w:t>International Journal of Plant 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164</w:t>
      </w:r>
      <w:r w:rsidRPr="00626D6B">
        <w:rPr>
          <w:rFonts w:ascii="Calibri" w:hAnsi="Calibri"/>
          <w:noProof/>
          <w:sz w:val="22"/>
        </w:rPr>
        <w:t>, 146–164.</w:t>
      </w:r>
    </w:p>
    <w:p w14:paraId="3F805343" w14:textId="00E082A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Robertson A.I. (2001) The responses of floodplain primary production to flood frequency and timing. </w:t>
      </w:r>
      <w:r w:rsidRPr="00626D6B">
        <w:rPr>
          <w:rFonts w:ascii="Calibri" w:hAnsi="Calibri"/>
          <w:i/>
          <w:iCs/>
          <w:noProof/>
          <w:sz w:val="22"/>
        </w:rPr>
        <w:t>Journal of Applied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38</w:t>
      </w:r>
      <w:r w:rsidRPr="00626D6B">
        <w:rPr>
          <w:rFonts w:ascii="Calibri" w:hAnsi="Calibri"/>
          <w:noProof/>
          <w:sz w:val="22"/>
        </w:rPr>
        <w:t>, 126–136.</w:t>
      </w:r>
    </w:p>
    <w:p w14:paraId="3907105A" w14:textId="712DD10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Robinson C. &amp; Schumacker R. (2009) Interaction effects: centering, variance inflation factor, and interpretation issues. </w:t>
      </w:r>
      <w:r w:rsidRPr="00626D6B">
        <w:rPr>
          <w:rFonts w:ascii="Calibri" w:hAnsi="Calibri"/>
          <w:i/>
          <w:iCs/>
          <w:noProof/>
          <w:sz w:val="22"/>
        </w:rPr>
        <w:t>Multiple Linear Regression Viewpoints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35</w:t>
      </w:r>
      <w:r w:rsidRPr="00626D6B">
        <w:rPr>
          <w:rFonts w:ascii="Calibri" w:hAnsi="Calibri"/>
          <w:noProof/>
          <w:sz w:val="22"/>
        </w:rPr>
        <w:t>, 6–11.</w:t>
      </w:r>
    </w:p>
    <w:p w14:paraId="5F0B0C75" w14:textId="12B873B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Savage J. &amp; Cavender-Bares J. (2012) Habitat specialization and the role of trait lability in structuring diverse willow (genus </w:t>
      </w:r>
      <w:r w:rsidRPr="00DA37B0">
        <w:rPr>
          <w:rFonts w:ascii="Calibri" w:hAnsi="Calibri"/>
          <w:i/>
          <w:noProof/>
          <w:sz w:val="22"/>
        </w:rPr>
        <w:t>Salix</w:t>
      </w:r>
      <w:r w:rsidRPr="00626D6B">
        <w:rPr>
          <w:rFonts w:ascii="Calibri" w:hAnsi="Calibri"/>
          <w:noProof/>
          <w:sz w:val="22"/>
        </w:rPr>
        <w:t xml:space="preserve">) communities.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93</w:t>
      </w:r>
      <w:r w:rsidRPr="00626D6B">
        <w:rPr>
          <w:rFonts w:ascii="Calibri" w:hAnsi="Calibri"/>
          <w:noProof/>
          <w:sz w:val="22"/>
        </w:rPr>
        <w:t>, 138–150.</w:t>
      </w:r>
    </w:p>
    <w:p w14:paraId="45E9D472" w14:textId="6274F74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Schleuter D. &amp; Daufresne M. (2010) A user’s guide to functional diversity indices. </w:t>
      </w:r>
      <w:r w:rsidRPr="00626D6B">
        <w:rPr>
          <w:rFonts w:ascii="Calibri" w:hAnsi="Calibri"/>
          <w:i/>
          <w:iCs/>
          <w:noProof/>
          <w:sz w:val="22"/>
        </w:rPr>
        <w:t>Ecological Monographs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80</w:t>
      </w:r>
      <w:r w:rsidRPr="00626D6B">
        <w:rPr>
          <w:rFonts w:ascii="Calibri" w:hAnsi="Calibri"/>
          <w:noProof/>
          <w:sz w:val="22"/>
        </w:rPr>
        <w:t>, 469–484.</w:t>
      </w:r>
    </w:p>
    <w:p w14:paraId="3688017E" w14:textId="4227C50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Siebentritt M.A., Ganf G.G. &amp; Walker K.F. (2004) Effects of an enhanced flood on riparian plants of the River Murray, South Australia. </w:t>
      </w:r>
      <w:r w:rsidRPr="00626D6B">
        <w:rPr>
          <w:rFonts w:ascii="Calibri" w:hAnsi="Calibri"/>
          <w:i/>
          <w:iCs/>
          <w:noProof/>
          <w:sz w:val="22"/>
        </w:rPr>
        <w:t>River Research and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765–774.</w:t>
      </w:r>
    </w:p>
    <w:p w14:paraId="1AADFDB7" w14:textId="24ABE34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Singer M. (2007) The influence of major dams on hydrology through the drainage network of the Sacramento River basin, California. </w:t>
      </w:r>
      <w:r w:rsidRPr="00626D6B">
        <w:rPr>
          <w:rFonts w:ascii="Calibri" w:hAnsi="Calibri"/>
          <w:i/>
          <w:iCs/>
          <w:noProof/>
          <w:sz w:val="22"/>
        </w:rPr>
        <w:t>River Research and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72</w:t>
      </w:r>
      <w:r w:rsidRPr="00626D6B">
        <w:rPr>
          <w:rFonts w:ascii="Calibri" w:hAnsi="Calibri"/>
          <w:noProof/>
          <w:sz w:val="22"/>
        </w:rPr>
        <w:t>, 55–72.</w:t>
      </w:r>
    </w:p>
    <w:p w14:paraId="1FEB1F23" w14:textId="713DCD9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Standish R.J., Hobbs R.J., Mayfield M.M., Bestelmeyer B.T., Suding K.N., Battaglia L.L., </w:t>
      </w:r>
      <w:r w:rsidRPr="00626D6B">
        <w:rPr>
          <w:rFonts w:ascii="Calibri" w:hAnsi="Calibri"/>
          <w:i/>
          <w:iCs/>
          <w:noProof/>
          <w:sz w:val="22"/>
        </w:rPr>
        <w:t>et al.</w:t>
      </w:r>
      <w:r w:rsidRPr="00626D6B">
        <w:rPr>
          <w:rFonts w:ascii="Calibri" w:hAnsi="Calibri"/>
          <w:noProof/>
          <w:sz w:val="22"/>
        </w:rPr>
        <w:t xml:space="preserve"> (2014) Resilience in ecology: Abstraction, distraction, or where the action is? </w:t>
      </w:r>
      <w:r w:rsidRPr="00626D6B">
        <w:rPr>
          <w:rFonts w:ascii="Calibri" w:hAnsi="Calibri"/>
          <w:i/>
          <w:iCs/>
          <w:noProof/>
          <w:sz w:val="22"/>
        </w:rPr>
        <w:t>Biological Conservation</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177</w:t>
      </w:r>
      <w:r w:rsidRPr="00626D6B">
        <w:rPr>
          <w:rFonts w:ascii="Calibri" w:hAnsi="Calibri"/>
          <w:noProof/>
          <w:sz w:val="22"/>
        </w:rPr>
        <w:t>, 43–51.</w:t>
      </w:r>
      <w:bookmarkStart w:id="0" w:name="_GoBack"/>
      <w:bookmarkEnd w:id="0"/>
    </w:p>
    <w:p w14:paraId="1A164A66" w14:textId="0778636D"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Van Steenis C.G.G.J. (1981) </w:t>
      </w:r>
      <w:r w:rsidRPr="00626D6B">
        <w:rPr>
          <w:rFonts w:ascii="Calibri" w:hAnsi="Calibri"/>
          <w:i/>
          <w:iCs/>
          <w:noProof/>
          <w:sz w:val="22"/>
        </w:rPr>
        <w:t>Rheophytes of the world: an account of the flood-resistant flowering plants and ferns and the theory of autonomous evolution</w:t>
      </w:r>
      <w:r w:rsidRPr="00626D6B">
        <w:rPr>
          <w:rFonts w:ascii="Calibri" w:hAnsi="Calibri"/>
          <w:noProof/>
          <w:sz w:val="22"/>
        </w:rPr>
        <w:t>. Sijthoff &amp; Noordhoff</w:t>
      </w:r>
      <w:r w:rsidR="00541905">
        <w:rPr>
          <w:rFonts w:ascii="Calibri" w:hAnsi="Calibri"/>
          <w:noProof/>
          <w:sz w:val="22"/>
        </w:rPr>
        <w:t>,</w:t>
      </w:r>
      <w:r w:rsidRPr="00626D6B">
        <w:rPr>
          <w:rFonts w:ascii="Calibri" w:hAnsi="Calibri"/>
          <w:noProof/>
          <w:sz w:val="22"/>
        </w:rPr>
        <w:t xml:space="preserve"> Alphen aan den Rijn, Netherlands.</w:t>
      </w:r>
    </w:p>
    <w:p w14:paraId="6430E5DF" w14:textId="0635B5D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Steiger J. &amp; Corenblit D. (2012) The emergence of an “evolutionary geomorphology”? </w:t>
      </w:r>
      <w:r w:rsidRPr="00626D6B">
        <w:rPr>
          <w:rFonts w:ascii="Calibri" w:hAnsi="Calibri"/>
          <w:i/>
          <w:iCs/>
          <w:noProof/>
          <w:sz w:val="22"/>
        </w:rPr>
        <w:t>Central European Journal of Geosciences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w:t>
      </w:r>
      <w:r w:rsidRPr="00626D6B">
        <w:rPr>
          <w:rFonts w:ascii="Calibri" w:hAnsi="Calibri"/>
          <w:noProof/>
          <w:sz w:val="22"/>
        </w:rPr>
        <w:t>, 376–382.</w:t>
      </w:r>
    </w:p>
    <w:p w14:paraId="42EF8C68" w14:textId="3200EAF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Stromberg J. (2001) Restoration of riparian vegetation in the south-western United States: importance of flow regimes and fluvial dynamism. </w:t>
      </w:r>
      <w:r w:rsidRPr="00626D6B">
        <w:rPr>
          <w:rFonts w:ascii="Calibri" w:hAnsi="Calibri"/>
          <w:i/>
          <w:iCs/>
          <w:noProof/>
          <w:sz w:val="22"/>
        </w:rPr>
        <w:t>Journal of Arid Environments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49</w:t>
      </w:r>
      <w:r w:rsidRPr="00626D6B">
        <w:rPr>
          <w:rFonts w:ascii="Calibri" w:hAnsi="Calibri"/>
          <w:noProof/>
          <w:sz w:val="22"/>
        </w:rPr>
        <w:t>, 17–34.</w:t>
      </w:r>
    </w:p>
    <w:p w14:paraId="7AEA36F0" w14:textId="251D15D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Swaine M.D. &amp; Grace J. (2007) Lianas may be favoured by low rainfall: evidence from Ghana. </w:t>
      </w:r>
      <w:r w:rsidRPr="00626D6B">
        <w:rPr>
          <w:rFonts w:ascii="Calibri" w:hAnsi="Calibri"/>
          <w:i/>
          <w:iCs/>
          <w:noProof/>
          <w:sz w:val="22"/>
        </w:rPr>
        <w:t>Plant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192</w:t>
      </w:r>
      <w:r w:rsidRPr="00626D6B">
        <w:rPr>
          <w:rFonts w:ascii="Calibri" w:hAnsi="Calibri"/>
          <w:noProof/>
          <w:sz w:val="22"/>
        </w:rPr>
        <w:t>, 271–276.</w:t>
      </w:r>
    </w:p>
    <w:p w14:paraId="064A8822" w14:textId="7C2B90C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Tabacchi E., Planty-Tabbacchi A., Salinas M.J. &amp; Decamps H. (1996) Landscape structure and diversity in riparian plant communities: a longitudinal comparative study. </w:t>
      </w:r>
      <w:r w:rsidRPr="00626D6B">
        <w:rPr>
          <w:rFonts w:ascii="Calibri" w:hAnsi="Calibri"/>
          <w:i/>
          <w:iCs/>
          <w:noProof/>
          <w:sz w:val="22"/>
        </w:rPr>
        <w:t>Regulated Rivers: Research and Management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12</w:t>
      </w:r>
      <w:r w:rsidRPr="00626D6B">
        <w:rPr>
          <w:rFonts w:ascii="Calibri" w:hAnsi="Calibri"/>
          <w:noProof/>
          <w:sz w:val="22"/>
        </w:rPr>
        <w:t>, 367–390.</w:t>
      </w:r>
    </w:p>
    <w:p w14:paraId="7455260A" w14:textId="64BD32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Telewski F.W. (1995) Wind-induced physiological and developmental responses in trees. </w:t>
      </w:r>
      <w:r w:rsidRPr="00626D6B">
        <w:rPr>
          <w:rFonts w:ascii="Calibri" w:hAnsi="Calibri"/>
          <w:i/>
          <w:iCs/>
          <w:noProof/>
          <w:sz w:val="22"/>
        </w:rPr>
        <w:t>Wind and trees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237</w:t>
      </w:r>
      <w:r w:rsidRPr="00626D6B">
        <w:rPr>
          <w:rFonts w:ascii="Calibri" w:hAnsi="Calibri"/>
          <w:noProof/>
          <w:sz w:val="22"/>
        </w:rPr>
        <w:t>, 263.</w:t>
      </w:r>
    </w:p>
    <w:p w14:paraId="01A1357D" w14:textId="4CBC3CC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Tilman D., Knops J., Wedin D., Reich P., Ritchie M. &amp; Siemann E. (1997) The influence of functional diversity and composition on ecosystem processes. </w:t>
      </w:r>
      <w:r w:rsidRPr="00626D6B">
        <w:rPr>
          <w:rFonts w:ascii="Calibri" w:hAnsi="Calibri"/>
          <w:i/>
          <w:iCs/>
          <w:noProof/>
          <w:sz w:val="22"/>
        </w:rPr>
        <w:t>Science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277</w:t>
      </w:r>
      <w:r w:rsidRPr="00626D6B">
        <w:rPr>
          <w:rFonts w:ascii="Calibri" w:hAnsi="Calibri"/>
          <w:noProof/>
          <w:sz w:val="22"/>
        </w:rPr>
        <w:t>, 1300–1302.</w:t>
      </w:r>
    </w:p>
    <w:p w14:paraId="208DA699" w14:textId="121D8C0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Villéger S., Mason N.W.H. &amp; Mouillot D. (2008) New multidimensional functional diversity indices for a multifaceted framework in functional ecology.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89</w:t>
      </w:r>
      <w:r w:rsidRPr="00626D6B">
        <w:rPr>
          <w:rFonts w:ascii="Calibri" w:hAnsi="Calibri"/>
          <w:noProof/>
          <w:sz w:val="22"/>
        </w:rPr>
        <w:t>, 2290–301.</w:t>
      </w:r>
    </w:p>
    <w:p w14:paraId="753CF92C" w14:textId="33FBFC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Westoby M. (1998) A leaf-height-seed (LHS) plant ecology strategy scheme. </w:t>
      </w:r>
      <w:r w:rsidRPr="00626D6B">
        <w:rPr>
          <w:rFonts w:ascii="Calibri" w:hAnsi="Calibri"/>
          <w:i/>
          <w:iCs/>
          <w:noProof/>
          <w:sz w:val="22"/>
        </w:rPr>
        <w:t>Plant and Soil</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199</w:t>
      </w:r>
      <w:r w:rsidRPr="00626D6B">
        <w:rPr>
          <w:rFonts w:ascii="Calibri" w:hAnsi="Calibri"/>
          <w:noProof/>
          <w:sz w:val="22"/>
        </w:rPr>
        <w:t>, 213–227.</w:t>
      </w:r>
    </w:p>
    <w:p w14:paraId="3F2FFE2A" w14:textId="24ABF14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Willig M.R., Kaufman D.M. &amp; Stevens R.D. (2003) Latitudinal gradients of biodiversity : pattern, process, scale, and synthesis. </w:t>
      </w:r>
      <w:r w:rsidRPr="00626D6B">
        <w:rPr>
          <w:rFonts w:ascii="Calibri" w:hAnsi="Calibri"/>
          <w:i/>
          <w:iCs/>
          <w:noProof/>
          <w:sz w:val="22"/>
        </w:rPr>
        <w:t>Annual Review of Ecology, Evolution, and Systematics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34</w:t>
      </w:r>
      <w:r w:rsidRPr="00626D6B">
        <w:rPr>
          <w:rFonts w:ascii="Calibri" w:hAnsi="Calibri"/>
          <w:noProof/>
          <w:sz w:val="22"/>
        </w:rPr>
        <w:t>, 273–309.</w:t>
      </w:r>
    </w:p>
    <w:p w14:paraId="2F366627" w14:textId="7D0E4A8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Woolfrey A.R. &amp; Ladd P.G. (2001) Habitat preference and reproductive traits of a major Australian riparian tree species (</w:t>
      </w:r>
      <w:r w:rsidRPr="00DA37B0">
        <w:rPr>
          <w:rFonts w:ascii="Calibri" w:hAnsi="Calibri"/>
          <w:i/>
          <w:noProof/>
          <w:sz w:val="22"/>
        </w:rPr>
        <w:t>Casuarina cunninghamiana</w:t>
      </w:r>
      <w:r w:rsidRPr="00626D6B">
        <w:rPr>
          <w:rFonts w:ascii="Calibri" w:hAnsi="Calibri"/>
          <w:noProof/>
          <w:sz w:val="22"/>
        </w:rPr>
        <w:t xml:space="preserve">). </w:t>
      </w:r>
      <w:r w:rsidRPr="00626D6B">
        <w:rPr>
          <w:rFonts w:ascii="Calibri" w:hAnsi="Calibri"/>
          <w:i/>
          <w:iCs/>
          <w:noProof/>
          <w:sz w:val="22"/>
        </w:rPr>
        <w:t>Australian Journal of Botany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49</w:t>
      </w:r>
      <w:r w:rsidRPr="00626D6B">
        <w:rPr>
          <w:rFonts w:ascii="Calibri" w:hAnsi="Calibri"/>
          <w:noProof/>
          <w:sz w:val="22"/>
        </w:rPr>
        <w:t>, 705–715.</w:t>
      </w:r>
    </w:p>
    <w:p w14:paraId="54F9B84A" w14:textId="5B99DFC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Wright I.J., Reich P.B., Westoby M., Ackerly D.D., Baruch Z., Bongers F., </w:t>
      </w:r>
      <w:r w:rsidRPr="00626D6B">
        <w:rPr>
          <w:rFonts w:ascii="Calibri" w:hAnsi="Calibri"/>
          <w:i/>
          <w:iCs/>
          <w:noProof/>
          <w:sz w:val="22"/>
        </w:rPr>
        <w:t>et al.</w:t>
      </w:r>
      <w:r w:rsidRPr="00626D6B">
        <w:rPr>
          <w:rFonts w:ascii="Calibri" w:hAnsi="Calibri"/>
          <w:noProof/>
          <w:sz w:val="22"/>
        </w:rPr>
        <w:t xml:space="preserve"> (2004) The worldwide leaf economics spectrum. </w:t>
      </w:r>
      <w:r w:rsidRPr="00626D6B">
        <w:rPr>
          <w:rFonts w:ascii="Calibri" w:hAnsi="Calibri"/>
          <w:i/>
          <w:iCs/>
          <w:noProof/>
          <w:sz w:val="22"/>
        </w:rPr>
        <w:t>Nature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428</w:t>
      </w:r>
      <w:r w:rsidRPr="00626D6B">
        <w:rPr>
          <w:rFonts w:ascii="Calibri" w:hAnsi="Calibri"/>
          <w:noProof/>
          <w:sz w:val="22"/>
        </w:rPr>
        <w:t>, 821–827.</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29A98B8F" w14:textId="53F06F63" w:rsidR="009524E3" w:rsidRDefault="009524E3"/>
    <w:p w14:paraId="685BC3CA" w14:textId="77777777" w:rsidR="00875B90" w:rsidRDefault="00875B90" w:rsidP="00F75551">
      <w:pPr>
        <w:spacing w:line="480" w:lineRule="auto"/>
      </w:pPr>
      <w:r>
        <w:lastRenderedPageBreak/>
        <w:t>TABLES</w:t>
      </w:r>
    </w:p>
    <w:p w14:paraId="7741B691" w14:textId="5072CFA4" w:rsidR="000C20C9" w:rsidRPr="005554E4" w:rsidRDefault="000C20C9" w:rsidP="005554E4">
      <w:pPr>
        <w:pStyle w:val="Caption"/>
        <w:keepNext/>
        <w:rPr>
          <w:sz w:val="22"/>
        </w:rPr>
      </w:pPr>
      <w:r w:rsidRPr="005554E4">
        <w:rPr>
          <w:sz w:val="22"/>
        </w:rPr>
        <w:t xml:space="preserve">Table </w:t>
      </w:r>
      <w:r w:rsidRPr="005554E4">
        <w:rPr>
          <w:sz w:val="22"/>
        </w:rPr>
        <w:fldChar w:fldCharType="begin"/>
      </w:r>
      <w:r w:rsidRPr="005554E4">
        <w:rPr>
          <w:sz w:val="22"/>
        </w:rPr>
        <w:instrText xml:space="preserve"> SEQ Table \* ARABIC </w:instrText>
      </w:r>
      <w:r w:rsidRPr="005554E4">
        <w:rPr>
          <w:sz w:val="22"/>
        </w:rPr>
        <w:fldChar w:fldCharType="separate"/>
      </w:r>
      <w:r w:rsidRPr="005554E4">
        <w:rPr>
          <w:noProof/>
          <w:sz w:val="22"/>
        </w:rPr>
        <w:t>1</w:t>
      </w:r>
      <w:r w:rsidRPr="005554E4">
        <w:rPr>
          <w:sz w:val="22"/>
        </w:rPr>
        <w:fldChar w:fldCharType="end"/>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6623C0B8" w14:textId="77777777" w:rsidTr="00D657D2">
        <w:tc>
          <w:tcPr>
            <w:tcW w:w="3005" w:type="dxa"/>
          </w:tcPr>
          <w:p w14:paraId="7047BE19"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0B54B2EE"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4B61130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666EE5B1" w14:textId="77777777" w:rsidTr="00D657D2">
        <w:tc>
          <w:tcPr>
            <w:tcW w:w="3005" w:type="dxa"/>
          </w:tcPr>
          <w:p w14:paraId="04A5302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5034414C"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7FB9DC3E" w14:textId="181E10A0"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18433C59" w14:textId="1664124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F697FEB" w14:textId="77777777" w:rsidTr="00D657D2">
        <w:tc>
          <w:tcPr>
            <w:tcW w:w="3005" w:type="dxa"/>
          </w:tcPr>
          <w:p w14:paraId="476E9C7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974F038"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16308BA2" w14:textId="0E59955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43A0616E" w14:textId="77777777" w:rsidTr="00D657D2">
        <w:tc>
          <w:tcPr>
            <w:tcW w:w="3005" w:type="dxa"/>
          </w:tcPr>
          <w:p w14:paraId="6D5D51C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30183A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2C7DCC29" w14:textId="1A951B6A"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"page"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710E109E" w14:textId="7D528F4E"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hydrochory (via seed buoyancy) (Carthey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"page"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AD4BAE7" w14:textId="77777777" w:rsidTr="00D657D2">
        <w:tc>
          <w:tcPr>
            <w:tcW w:w="3005" w:type="dxa"/>
          </w:tcPr>
          <w:p w14:paraId="7AC67F5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2C0F35C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5E8E9D68" w14:textId="7B7A7F8B"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20398CA1" w14:textId="6AF29085"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0C20C9"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4DF2C39" w14:textId="77777777" w:rsidTr="00D657D2">
        <w:tc>
          <w:tcPr>
            <w:tcW w:w="3005" w:type="dxa"/>
          </w:tcPr>
          <w:p w14:paraId="2E131586"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2D2D74D9"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Proportion of the year spent in flower (proportion, dimensionless)</w:t>
            </w:r>
          </w:p>
        </w:tc>
        <w:tc>
          <w:tcPr>
            <w:tcW w:w="3006" w:type="dxa"/>
          </w:tcPr>
          <w:p w14:paraId="43E86107" w14:textId="539E5046" w:rsidR="000C20C9" w:rsidRPr="004748AD" w:rsidRDefault="004748AD" w:rsidP="004748AD">
            <w:pPr>
              <w:spacing w:line="360" w:lineRule="auto"/>
              <w:rPr>
                <w:rFonts w:eastAsia="Times New Roman" w:cs="Arial"/>
                <w:sz w:val="20"/>
                <w:lang w:eastAsia="en-AU"/>
              </w:rPr>
            </w:pPr>
            <w:r>
              <w:rPr>
                <w:noProof/>
                <w:sz w:val="20"/>
              </w:rPr>
              <w:t xml:space="preserve">-  </w:t>
            </w:r>
            <w:r w:rsidR="000C20C9" w:rsidRPr="004748AD">
              <w:rPr>
                <w:noProof/>
                <w:sz w:val="20"/>
              </w:rPr>
              <w:t>Indicates species’ ability to respond reproductively to favourable conditions.</w:t>
            </w:r>
          </w:p>
        </w:tc>
      </w:tr>
      <w:tr w:rsidR="000C20C9" w14:paraId="67D7AF0A" w14:textId="77777777" w:rsidTr="004748AD">
        <w:trPr>
          <w:trHeight w:val="5235"/>
        </w:trPr>
        <w:tc>
          <w:tcPr>
            <w:tcW w:w="3005" w:type="dxa"/>
          </w:tcPr>
          <w:p w14:paraId="40B06903"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4AB97DEB"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6E1D8758" w14:textId="63027D61"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0C20C9" w:rsidRPr="004748AD">
              <w:rPr>
                <w:noProof/>
                <w:sz w:val="20"/>
              </w:rPr>
              <w:fldChar w:fldCharType="end"/>
            </w:r>
            <w:r w:rsidR="000C20C9" w:rsidRPr="004748AD">
              <w:rPr>
                <w:noProof/>
                <w:sz w:val="20"/>
              </w:rPr>
              <w:t xml:space="preserve">. </w:t>
            </w:r>
          </w:p>
          <w:p w14:paraId="7D1FE53E" w14:textId="786A51C0"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(van Steenis 1981)</w:t>
            </w:r>
            <w:r w:rsidR="000C20C9" w:rsidRPr="004748AD">
              <w:rPr>
                <w:noProof/>
                <w:sz w:val="20"/>
              </w:rPr>
              <w:fldChar w:fldCharType="end"/>
            </w:r>
            <w:r w:rsidR="000C20C9" w:rsidRPr="004748AD">
              <w:rPr>
                <w:noProof/>
                <w:sz w:val="20"/>
              </w:rPr>
              <w:t>.</w:t>
            </w:r>
            <w:r w:rsidR="000C20C9" w:rsidRPr="004748AD">
              <w:rPr>
                <w:noProof/>
                <w:sz w:val="20"/>
                <w:highlight w:val="yellow"/>
              </w:rPr>
              <w:t xml:space="preserve">  </w:t>
            </w:r>
          </w:p>
          <w:p w14:paraId="4BAA85B1" w14:textId="77777777" w:rsidR="000C20C9" w:rsidRPr="00FB0430" w:rsidRDefault="000C20C9" w:rsidP="004748AD">
            <w:pPr>
              <w:spacing w:line="360" w:lineRule="auto"/>
              <w:rPr>
                <w:rFonts w:eastAsia="Times New Roman" w:cs="Arial"/>
                <w:sz w:val="20"/>
                <w:lang w:eastAsia="en-AU"/>
              </w:rPr>
            </w:pPr>
          </w:p>
        </w:tc>
      </w:tr>
    </w:tbl>
    <w:p w14:paraId="2C01AA91" w14:textId="77777777" w:rsidR="000C20C9" w:rsidRDefault="000C20C9" w:rsidP="00F75551">
      <w:pPr>
        <w:spacing w:line="480" w:lineRule="auto"/>
      </w:pPr>
    </w:p>
    <w:p w14:paraId="5F1B5D06" w14:textId="77777777" w:rsidR="000C20C9" w:rsidRDefault="000C20C9" w:rsidP="00F75551">
      <w:pPr>
        <w:spacing w:line="480" w:lineRule="auto"/>
      </w:pPr>
    </w:p>
    <w:p w14:paraId="12A51FD0" w14:textId="77777777" w:rsidR="000C20C9" w:rsidRDefault="000C20C9" w:rsidP="00F75551">
      <w:pPr>
        <w:spacing w:line="480" w:lineRule="auto"/>
      </w:pPr>
    </w:p>
    <w:p w14:paraId="4A9FFBEA" w14:textId="77777777" w:rsidR="00EE579F" w:rsidRDefault="00EE579F" w:rsidP="00F75551">
      <w:pPr>
        <w:spacing w:line="480" w:lineRule="auto"/>
      </w:pPr>
    </w:p>
    <w:p w14:paraId="43F53AD9" w14:textId="77777777" w:rsidR="00EE579F" w:rsidRDefault="00EE579F" w:rsidP="00F75551">
      <w:pPr>
        <w:spacing w:line="480" w:lineRule="auto"/>
      </w:pPr>
    </w:p>
    <w:p w14:paraId="64184012" w14:textId="77777777" w:rsidR="00EE579F" w:rsidRDefault="00EE579F" w:rsidP="00F75551">
      <w:pPr>
        <w:spacing w:line="480" w:lineRule="auto"/>
      </w:pPr>
    </w:p>
    <w:p w14:paraId="46F77BE7" w14:textId="77777777" w:rsidR="00EE579F" w:rsidRDefault="00EE579F" w:rsidP="00F75551">
      <w:pPr>
        <w:spacing w:line="480" w:lineRule="auto"/>
      </w:pPr>
    </w:p>
    <w:p w14:paraId="1E1CC943" w14:textId="77777777" w:rsidR="00EE579F" w:rsidRDefault="00EE579F" w:rsidP="00F75551">
      <w:pPr>
        <w:spacing w:line="480" w:lineRule="auto"/>
      </w:pPr>
    </w:p>
    <w:p w14:paraId="0DC614F3" w14:textId="77777777" w:rsidR="00EE579F" w:rsidRDefault="00EE579F" w:rsidP="00F75551">
      <w:pPr>
        <w:spacing w:line="480" w:lineRule="auto"/>
      </w:pPr>
    </w:p>
    <w:p w14:paraId="3C437266" w14:textId="77777777" w:rsidR="00EE579F" w:rsidRDefault="00EE579F" w:rsidP="00F75551">
      <w:pPr>
        <w:spacing w:line="480" w:lineRule="auto"/>
      </w:pPr>
    </w:p>
    <w:p w14:paraId="23730A3B" w14:textId="2874EAAB"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307B946B"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3C9B64EC"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6621E001"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2A8908C3"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0FF988D1"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5554E4">
            <w:pPr>
              <w:spacing w:line="360" w:lineRule="auto"/>
              <w:rPr>
                <w:sz w:val="20"/>
                <w:szCs w:val="20"/>
              </w:rPr>
            </w:pPr>
            <w:r w:rsidRPr="00DA6200">
              <w:rPr>
                <w:sz w:val="20"/>
                <w:szCs w:val="20"/>
              </w:rPr>
              <w:t>HSPeak</w:t>
            </w:r>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40F7C566"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r>
              <w:rPr>
                <w:sz w:val="20"/>
                <w:szCs w:val="20"/>
              </w:rPr>
              <w:t xml:space="preserve">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are larger flow events with the potential to be geomorphically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5554E4">
            <w:pPr>
              <w:spacing w:line="360" w:lineRule="auto"/>
              <w:rPr>
                <w:sz w:val="20"/>
                <w:szCs w:val="20"/>
              </w:rPr>
            </w:pPr>
            <w:r w:rsidRPr="00DA6200">
              <w:rPr>
                <w:sz w:val="20"/>
                <w:szCs w:val="20"/>
              </w:rPr>
              <w:t>CVAnnHSPeak</w:t>
            </w:r>
          </w:p>
        </w:tc>
        <w:tc>
          <w:tcPr>
            <w:tcW w:w="1559" w:type="dxa"/>
            <w:tcBorders>
              <w:left w:val="single" w:sz="4" w:space="0" w:color="auto"/>
              <w:right w:val="single" w:sz="4" w:space="0" w:color="auto"/>
            </w:tcBorders>
          </w:tcPr>
          <w:p w14:paraId="09535611" w14:textId="75F4C8D1"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5554E4">
            <w:pPr>
              <w:spacing w:line="36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423F340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5554E4">
            <w:pPr>
              <w:spacing w:line="36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5554E4">
            <w:pPr>
              <w:spacing w:line="360" w:lineRule="auto"/>
              <w:rPr>
                <w:sz w:val="20"/>
                <w:szCs w:val="20"/>
              </w:rPr>
            </w:pPr>
            <w:r w:rsidRPr="00DA6200">
              <w:rPr>
                <w:sz w:val="20"/>
                <w:szCs w:val="20"/>
              </w:rPr>
              <w:t>MDFAnnHSNum</w:t>
            </w:r>
          </w:p>
        </w:tc>
        <w:tc>
          <w:tcPr>
            <w:tcW w:w="1559" w:type="dxa"/>
            <w:tcBorders>
              <w:left w:val="single" w:sz="4" w:space="0" w:color="auto"/>
              <w:right w:val="single" w:sz="4" w:space="0" w:color="auto"/>
            </w:tcBorders>
          </w:tcPr>
          <w:p w14:paraId="689A291E" w14:textId="2327D115"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5554E4">
            <w:pPr>
              <w:spacing w:line="36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5554E4">
            <w:pPr>
              <w:spacing w:line="360" w:lineRule="auto"/>
              <w:rPr>
                <w:sz w:val="20"/>
                <w:szCs w:val="20"/>
              </w:rPr>
            </w:pPr>
            <w:r w:rsidRPr="00DA6200">
              <w:rPr>
                <w:sz w:val="20"/>
                <w:szCs w:val="20"/>
              </w:rPr>
              <w:t>CVAnnHSNum</w:t>
            </w:r>
          </w:p>
        </w:tc>
        <w:tc>
          <w:tcPr>
            <w:tcW w:w="1559" w:type="dxa"/>
            <w:tcBorders>
              <w:left w:val="single" w:sz="4" w:space="0" w:color="auto"/>
              <w:bottom w:val="single" w:sz="4" w:space="0" w:color="auto"/>
              <w:right w:val="single" w:sz="4" w:space="0" w:color="auto"/>
            </w:tcBorders>
          </w:tcPr>
          <w:p w14:paraId="4440FB44" w14:textId="363C8B8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5554E4">
            <w:pPr>
              <w:spacing w:line="36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6429D5B4"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5554E4">
            <w:pPr>
              <w:spacing w:line="360" w:lineRule="auto"/>
              <w:rPr>
                <w:sz w:val="20"/>
                <w:szCs w:val="20"/>
              </w:rPr>
            </w:pPr>
            <w:r w:rsidRPr="00DA6200">
              <w:rPr>
                <w:sz w:val="20"/>
                <w:szCs w:val="20"/>
              </w:rPr>
              <w:t>MRateRise</w:t>
            </w:r>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33F84E88" w:rsidR="00875B90" w:rsidRDefault="00875B90" w:rsidP="005554E4">
            <w:pPr>
              <w:spacing w:line="360" w:lineRule="auto"/>
              <w:rPr>
                <w:sz w:val="20"/>
                <w:szCs w:val="20"/>
              </w:rPr>
            </w:pPr>
            <w:r>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5554E4">
            <w:pPr>
              <w:spacing w:line="36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6D52B16F" w14:textId="77777777" w:rsidR="00875B90" w:rsidRPr="00DA6200" w:rsidRDefault="00875B90" w:rsidP="005554E4">
            <w:pPr>
              <w:spacing w:line="360" w:lineRule="auto"/>
              <w:rPr>
                <w:sz w:val="20"/>
                <w:szCs w:val="20"/>
              </w:rPr>
            </w:pPr>
            <w:r w:rsidRPr="00DA6200">
              <w:rPr>
                <w:sz w:val="20"/>
                <w:szCs w:val="20"/>
              </w:rPr>
              <w:t>M</w:t>
            </w:r>
            <w:r>
              <w:rPr>
                <w:sz w:val="20"/>
                <w:szCs w:val="20"/>
              </w:rPr>
              <w:t>R</w:t>
            </w:r>
            <w:r w:rsidRPr="00DA6200">
              <w:rPr>
                <w:sz w:val="20"/>
                <w:szCs w:val="20"/>
              </w:rPr>
              <w:t>ateFall</w:t>
            </w:r>
          </w:p>
        </w:tc>
        <w:tc>
          <w:tcPr>
            <w:tcW w:w="1559" w:type="dxa"/>
            <w:tcBorders>
              <w:left w:val="single" w:sz="4" w:space="0" w:color="auto"/>
              <w:right w:val="single" w:sz="4" w:space="0" w:color="auto"/>
            </w:tcBorders>
          </w:tcPr>
          <w:p w14:paraId="186DD05C" w14:textId="519A8839"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5554E4">
            <w:pPr>
              <w:spacing w:line="36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5554E4">
            <w:pPr>
              <w:spacing w:line="360" w:lineRule="auto"/>
              <w:rPr>
                <w:sz w:val="20"/>
                <w:szCs w:val="20"/>
              </w:rPr>
            </w:pPr>
            <w:r w:rsidRPr="00DA6200">
              <w:rPr>
                <w:sz w:val="20"/>
                <w:szCs w:val="20"/>
              </w:rPr>
              <w:t>CVAnnMRateRise</w:t>
            </w:r>
          </w:p>
        </w:tc>
        <w:tc>
          <w:tcPr>
            <w:tcW w:w="1559" w:type="dxa"/>
            <w:tcBorders>
              <w:left w:val="single" w:sz="4" w:space="0" w:color="auto"/>
              <w:right w:val="single" w:sz="4" w:space="0" w:color="auto"/>
            </w:tcBorders>
          </w:tcPr>
          <w:p w14:paraId="2C3FF747" w14:textId="2637BA3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5554E4">
            <w:pPr>
              <w:spacing w:line="36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5554E4">
            <w:pPr>
              <w:spacing w:line="360" w:lineRule="auto"/>
              <w:rPr>
                <w:sz w:val="20"/>
                <w:szCs w:val="20"/>
              </w:rPr>
            </w:pPr>
            <w:r w:rsidRPr="00DA6200">
              <w:rPr>
                <w:sz w:val="20"/>
                <w:szCs w:val="20"/>
              </w:rPr>
              <w:t>CVAnnMRateFall</w:t>
            </w:r>
          </w:p>
        </w:tc>
        <w:tc>
          <w:tcPr>
            <w:tcW w:w="1559" w:type="dxa"/>
            <w:tcBorders>
              <w:left w:val="single" w:sz="4" w:space="0" w:color="auto"/>
              <w:bottom w:val="single" w:sz="4" w:space="0" w:color="auto"/>
              <w:right w:val="single" w:sz="4" w:space="0" w:color="auto"/>
            </w:tcBorders>
          </w:tcPr>
          <w:p w14:paraId="65AAD820" w14:textId="0B4A4A1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5554E4">
            <w:pPr>
              <w:spacing w:line="36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3E49AA81"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2B1EDF8C"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 </w:t>
            </w:r>
            <w:r w:rsidRPr="00DA6200">
              <w:rPr>
                <w:sz w:val="20"/>
                <w:szCs w:val="20"/>
              </w:rPr>
              <w:t xml:space="preserve">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5410D286"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5554E4">
            <w:pPr>
              <w:spacing w:line="36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5554E4">
            <w:pPr>
              <w:spacing w:line="360" w:lineRule="auto"/>
              <w:rPr>
                <w:sz w:val="20"/>
                <w:szCs w:val="20"/>
              </w:rPr>
            </w:pPr>
            <w:r w:rsidRPr="00DA6200">
              <w:rPr>
                <w:sz w:val="20"/>
                <w:szCs w:val="20"/>
              </w:rPr>
              <w:t>C_MinM</w:t>
            </w:r>
          </w:p>
        </w:tc>
        <w:tc>
          <w:tcPr>
            <w:tcW w:w="1559" w:type="dxa"/>
            <w:tcBorders>
              <w:left w:val="single" w:sz="4" w:space="0" w:color="auto"/>
              <w:right w:val="single" w:sz="4" w:space="0" w:color="auto"/>
            </w:tcBorders>
          </w:tcPr>
          <w:p w14:paraId="4898DFFB" w14:textId="12116B0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5554E4">
            <w:pPr>
              <w:spacing w:line="36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5554E4">
            <w:pPr>
              <w:spacing w:line="360" w:lineRule="auto"/>
              <w:rPr>
                <w:sz w:val="20"/>
                <w:szCs w:val="20"/>
              </w:rPr>
            </w:pPr>
            <w:r w:rsidRPr="00DA6200">
              <w:rPr>
                <w:sz w:val="20"/>
                <w:szCs w:val="20"/>
              </w:rPr>
              <w:t>M_MinM</w:t>
            </w:r>
          </w:p>
        </w:tc>
        <w:tc>
          <w:tcPr>
            <w:tcW w:w="1559" w:type="dxa"/>
            <w:tcBorders>
              <w:left w:val="single" w:sz="4" w:space="0" w:color="auto"/>
              <w:bottom w:val="single" w:sz="4" w:space="0" w:color="auto"/>
              <w:right w:val="single" w:sz="4" w:space="0" w:color="auto"/>
            </w:tcBorders>
          </w:tcPr>
          <w:p w14:paraId="74D2A1B1" w14:textId="1599999D"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5554E4">
            <w:pPr>
              <w:spacing w:line="36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682815BD"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5554E4">
            <w:pPr>
              <w:spacing w:line="360" w:lineRule="auto"/>
              <w:rPr>
                <w:sz w:val="20"/>
                <w:szCs w:val="20"/>
              </w:rPr>
            </w:pPr>
            <w:r w:rsidRPr="00DA6200">
              <w:rPr>
                <w:sz w:val="20"/>
                <w:szCs w:val="20"/>
              </w:rPr>
              <w:t>MDFMDFSpring</w:t>
            </w:r>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64D6D511"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5554E4">
            <w:pPr>
              <w:spacing w:line="360" w:lineRule="auto"/>
            </w:pPr>
            <w:r>
              <w:t>MDFMDFSummer</w:t>
            </w:r>
          </w:p>
        </w:tc>
        <w:tc>
          <w:tcPr>
            <w:tcW w:w="1559" w:type="dxa"/>
            <w:tcBorders>
              <w:left w:val="single" w:sz="4" w:space="0" w:color="auto"/>
              <w:right w:val="single" w:sz="4" w:space="0" w:color="auto"/>
            </w:tcBorders>
          </w:tcPr>
          <w:p w14:paraId="0BE90E5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6D794F8" w14:textId="77777777" w:rsidR="00875B90" w:rsidRPr="00DE2EFD" w:rsidRDefault="00875B90" w:rsidP="005554E4">
            <w:pPr>
              <w:spacing w:line="36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5554E4">
            <w:pPr>
              <w:spacing w:line="360" w:lineRule="auto"/>
            </w:pPr>
            <w:r>
              <w:t>MDFMDFAutumn</w:t>
            </w:r>
          </w:p>
        </w:tc>
        <w:tc>
          <w:tcPr>
            <w:tcW w:w="1559" w:type="dxa"/>
            <w:tcBorders>
              <w:left w:val="single" w:sz="4" w:space="0" w:color="auto"/>
              <w:right w:val="single" w:sz="4" w:space="0" w:color="auto"/>
            </w:tcBorders>
          </w:tcPr>
          <w:p w14:paraId="7ABBA8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C4D2203" w14:textId="77777777" w:rsidR="00875B90" w:rsidRPr="00DE2EFD" w:rsidRDefault="00875B90" w:rsidP="005554E4">
            <w:pPr>
              <w:spacing w:line="36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5554E4">
            <w:pPr>
              <w:spacing w:line="360" w:lineRule="auto"/>
            </w:pPr>
            <w:r>
              <w:t>MDFMDFWinter</w:t>
            </w:r>
          </w:p>
        </w:tc>
        <w:tc>
          <w:tcPr>
            <w:tcW w:w="1559" w:type="dxa"/>
            <w:tcBorders>
              <w:left w:val="single" w:sz="4" w:space="0" w:color="auto"/>
              <w:right w:val="single" w:sz="4" w:space="0" w:color="auto"/>
            </w:tcBorders>
          </w:tcPr>
          <w:p w14:paraId="1E03080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5576AB9" w14:textId="77777777" w:rsidR="00875B90" w:rsidRPr="00DE2EFD" w:rsidRDefault="00875B90" w:rsidP="005554E4">
            <w:pPr>
              <w:spacing w:line="36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5554E4">
            <w:pPr>
              <w:spacing w:line="360" w:lineRule="auto"/>
            </w:pPr>
            <w:r>
              <w:t>CVMDFSpring</w:t>
            </w:r>
          </w:p>
        </w:tc>
        <w:tc>
          <w:tcPr>
            <w:tcW w:w="1559" w:type="dxa"/>
            <w:tcBorders>
              <w:left w:val="single" w:sz="4" w:space="0" w:color="auto"/>
              <w:right w:val="single" w:sz="4" w:space="0" w:color="auto"/>
            </w:tcBorders>
          </w:tcPr>
          <w:p w14:paraId="7EAE51F0"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08A642B" w14:textId="77777777" w:rsidR="00875B90" w:rsidRPr="00DE2EFD" w:rsidRDefault="00875B90" w:rsidP="005554E4">
            <w:pPr>
              <w:spacing w:line="36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5554E4">
            <w:pPr>
              <w:spacing w:line="360" w:lineRule="auto"/>
            </w:pPr>
            <w:r>
              <w:t>CVMDFSummer</w:t>
            </w:r>
          </w:p>
        </w:tc>
        <w:tc>
          <w:tcPr>
            <w:tcW w:w="1559" w:type="dxa"/>
            <w:tcBorders>
              <w:left w:val="single" w:sz="4" w:space="0" w:color="auto"/>
              <w:right w:val="single" w:sz="4" w:space="0" w:color="auto"/>
            </w:tcBorders>
          </w:tcPr>
          <w:p w14:paraId="4C09C69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2E1495E1" w14:textId="77777777" w:rsidR="00875B90" w:rsidRPr="00DE2EFD" w:rsidRDefault="00875B90" w:rsidP="005554E4">
            <w:pPr>
              <w:spacing w:line="36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5554E4">
            <w:pPr>
              <w:spacing w:line="360" w:lineRule="auto"/>
            </w:pPr>
            <w:r>
              <w:t>CVMDFAutumn</w:t>
            </w:r>
          </w:p>
        </w:tc>
        <w:tc>
          <w:tcPr>
            <w:tcW w:w="1559" w:type="dxa"/>
            <w:tcBorders>
              <w:left w:val="single" w:sz="4" w:space="0" w:color="auto"/>
              <w:right w:val="single" w:sz="4" w:space="0" w:color="auto"/>
            </w:tcBorders>
          </w:tcPr>
          <w:p w14:paraId="3138B199"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702123F" w14:textId="77777777" w:rsidR="00875B90" w:rsidRPr="00DE2EFD" w:rsidRDefault="00875B90" w:rsidP="005554E4">
            <w:pPr>
              <w:spacing w:line="36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5554E4">
            <w:pPr>
              <w:spacing w:line="360" w:lineRule="auto"/>
            </w:pPr>
            <w:r>
              <w:t>CVMDFWinter</w:t>
            </w:r>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B1A98DA" w14:textId="77777777" w:rsidR="00875B90" w:rsidRPr="00DE2EFD" w:rsidRDefault="00875B90" w:rsidP="005554E4">
            <w:pPr>
              <w:spacing w:line="36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1570B177" w14:textId="77777777" w:rsidR="00A57EDD" w:rsidRDefault="00A57EDD" w:rsidP="00F75551">
      <w:pPr>
        <w:spacing w:line="480" w:lineRule="auto"/>
      </w:pPr>
    </w:p>
    <w:p w14:paraId="791E3B3E" w14:textId="77777777" w:rsidR="00A57EDD" w:rsidRDefault="00A57EDD" w:rsidP="00F75551">
      <w:pPr>
        <w:spacing w:line="480" w:lineRule="auto"/>
      </w:pPr>
    </w:p>
    <w:p w14:paraId="4F38EA4E" w14:textId="77777777" w:rsidR="00A57EDD" w:rsidRDefault="00A57EDD" w:rsidP="00F75551">
      <w:pPr>
        <w:spacing w:line="480" w:lineRule="auto"/>
      </w:pPr>
    </w:p>
    <w:p w14:paraId="1B67878F" w14:textId="77777777" w:rsidR="00A57EDD" w:rsidRDefault="00A57EDD" w:rsidP="00F75551">
      <w:pPr>
        <w:spacing w:line="480" w:lineRule="auto"/>
      </w:pPr>
    </w:p>
    <w:p w14:paraId="39E8D543" w14:textId="77777777" w:rsidR="00A57EDD" w:rsidRDefault="00A57EDD" w:rsidP="00F75551">
      <w:pPr>
        <w:spacing w:line="480" w:lineRule="auto"/>
      </w:pPr>
    </w:p>
    <w:p w14:paraId="28B4B742" w14:textId="77777777" w:rsidR="00A57EDD" w:rsidRDefault="00A57EDD" w:rsidP="00F75551">
      <w:pPr>
        <w:spacing w:line="480" w:lineRule="auto"/>
      </w:pPr>
    </w:p>
    <w:p w14:paraId="370A4BC7" w14:textId="77777777" w:rsidR="00A57EDD" w:rsidRDefault="00A57EDD" w:rsidP="00F75551">
      <w:pPr>
        <w:spacing w:line="480" w:lineRule="auto"/>
      </w:pPr>
    </w:p>
    <w:p w14:paraId="06ADE981" w14:textId="77777777" w:rsidR="00A57EDD" w:rsidRDefault="00A57EDD" w:rsidP="00F75551">
      <w:pPr>
        <w:spacing w:line="480" w:lineRule="auto"/>
      </w:pPr>
    </w:p>
    <w:p w14:paraId="3850D7EE" w14:textId="77777777" w:rsidR="00A57EDD" w:rsidRDefault="00A57EDD" w:rsidP="00F75551">
      <w:pPr>
        <w:spacing w:line="480" w:lineRule="auto"/>
      </w:pPr>
    </w:p>
    <w:p w14:paraId="138716A1" w14:textId="77777777" w:rsidR="00A57EDD" w:rsidRDefault="00A57EDD" w:rsidP="00F75551">
      <w:pPr>
        <w:spacing w:line="480" w:lineRule="auto"/>
      </w:pPr>
    </w:p>
    <w:p w14:paraId="2FF9452E" w14:textId="77777777" w:rsidR="00A57EDD" w:rsidRDefault="00A57EDD" w:rsidP="00F75551">
      <w:pPr>
        <w:spacing w:line="480" w:lineRule="auto"/>
      </w:pPr>
    </w:p>
    <w:p w14:paraId="59A02F76" w14:textId="77777777" w:rsidR="00A57EDD" w:rsidRDefault="00A57EDD" w:rsidP="00F75551">
      <w:pPr>
        <w:spacing w:line="480" w:lineRule="auto"/>
      </w:pPr>
    </w:p>
    <w:p w14:paraId="7A0F1B60" w14:textId="77777777" w:rsidR="00A57EDD" w:rsidRDefault="00A57EDD" w:rsidP="00F75551">
      <w:pPr>
        <w:spacing w:line="480" w:lineRule="auto"/>
      </w:pPr>
    </w:p>
    <w:p w14:paraId="13DE50FD" w14:textId="77777777" w:rsidR="00A57EDD" w:rsidRDefault="00A57EDD" w:rsidP="00F75551">
      <w:pPr>
        <w:spacing w:line="480" w:lineRule="auto"/>
      </w:pPr>
    </w:p>
    <w:p w14:paraId="0EB12BE9" w14:textId="77777777" w:rsidR="00A57EDD" w:rsidRDefault="00A57EDD" w:rsidP="00F75551">
      <w:pPr>
        <w:spacing w:line="480" w:lineRule="auto"/>
      </w:pPr>
    </w:p>
    <w:p w14:paraId="724B392A" w14:textId="25D50A4E"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Multiple regression models with associated fitting parameters. * in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6FBED1A4"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coefficents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147CEA62" w14:textId="77777777" w:rsidR="00875B90" w:rsidRDefault="00875B90" w:rsidP="00F75551">
      <w:pPr>
        <w:spacing w:line="480" w:lineRule="auto"/>
      </w:pPr>
    </w:p>
    <w:p w14:paraId="17386D3F" w14:textId="77777777" w:rsidR="00875B90" w:rsidRDefault="00875B90" w:rsidP="00F75551">
      <w:pPr>
        <w:spacing w:line="480" w:lineRule="auto"/>
      </w:pPr>
    </w:p>
    <w:p w14:paraId="6AC3D3D7" w14:textId="77777777" w:rsidR="00875B90" w:rsidRDefault="00875B90" w:rsidP="00F75551">
      <w:pPr>
        <w:spacing w:line="480" w:lineRule="auto"/>
      </w:pPr>
    </w:p>
    <w:p w14:paraId="75A2C3A8" w14:textId="77777777" w:rsidR="00875B90" w:rsidRDefault="00875B90" w:rsidP="00F75551">
      <w:pPr>
        <w:spacing w:line="480" w:lineRule="auto"/>
      </w:pPr>
    </w:p>
    <w:p w14:paraId="0038FB19" w14:textId="77777777" w:rsidR="00875B90" w:rsidRDefault="00875B90" w:rsidP="00F75551">
      <w:pPr>
        <w:spacing w:line="480" w:lineRule="auto"/>
      </w:pPr>
    </w:p>
    <w:p w14:paraId="25059353" w14:textId="77777777" w:rsidR="00875B90" w:rsidRDefault="00875B90" w:rsidP="00F75551">
      <w:pPr>
        <w:spacing w:line="480" w:lineRule="auto"/>
      </w:pPr>
    </w:p>
    <w:p w14:paraId="61F19531" w14:textId="77777777" w:rsidR="00875B90" w:rsidRDefault="00875B90" w:rsidP="00F75551">
      <w:pPr>
        <w:spacing w:line="480" w:lineRule="auto"/>
      </w:pPr>
    </w:p>
    <w:p w14:paraId="0BF57051" w14:textId="77777777" w:rsidR="00875B90" w:rsidRDefault="00875B90" w:rsidP="00F75551">
      <w:pPr>
        <w:spacing w:line="480" w:lineRule="auto"/>
      </w:pPr>
    </w:p>
    <w:p w14:paraId="61E27C09" w14:textId="77777777" w:rsidR="00875B90" w:rsidRDefault="00875B90" w:rsidP="00F75551">
      <w:pPr>
        <w:spacing w:line="480" w:lineRule="auto"/>
      </w:pPr>
    </w:p>
    <w:p w14:paraId="48BD5058"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77777777" w:rsidR="00875B90" w:rsidRDefault="00CE18F5" w:rsidP="00875B90">
      <w:pPr>
        <w:keepNext/>
        <w:spacing w:line="480" w:lineRule="auto"/>
      </w:pPr>
      <w:r>
        <w:rPr>
          <w:noProof/>
          <w:lang w:eastAsia="en-AU"/>
        </w:rPr>
        <w:lastRenderedPageBreak/>
        <w:drawing>
          <wp:inline distT="0" distB="0" distL="0" distR="0" wp14:anchorId="306ABB5B" wp14:editId="09A25798">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FDis and hydrological metrics describing a) contingency of monthly minimum daily flow (M_MinM), b) contingency of monthly maximum daily flow (M_MaxM), c) contingency of monthly mean daily flow (M_MDFM), d) constancy of monthly minimum daily flow (C_MinM), e) constancy of monthly mean daily flow (C_MDFM). Fitted lines depict ordinary least squares regression models. a.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FDis).  </w:t>
      </w:r>
    </w:p>
    <w:p w14:paraId="0EAC7AB2" w14:textId="77777777" w:rsidR="00A97E68" w:rsidRDefault="00A97E68">
      <w:r>
        <w:br w:type="page"/>
      </w:r>
    </w:p>
    <w:p w14:paraId="331AD55F" w14:textId="77777777" w:rsidR="00875B90" w:rsidRDefault="00CE18F5" w:rsidP="00875B90">
      <w:pPr>
        <w:keepNext/>
        <w:spacing w:line="480" w:lineRule="auto"/>
      </w:pPr>
      <w:r>
        <w:rPr>
          <w:noProof/>
          <w:lang w:eastAsia="en-AU"/>
        </w:rPr>
        <w:lastRenderedPageBreak/>
        <w:drawing>
          <wp:inline distT="0" distB="0" distL="0" distR="0" wp14:anchorId="34072B46" wp14:editId="1213FA18">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FDis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3726"/>
    <w:rsid w:val="0003675A"/>
    <w:rsid w:val="00044A19"/>
    <w:rsid w:val="00051869"/>
    <w:rsid w:val="00064C80"/>
    <w:rsid w:val="0007531A"/>
    <w:rsid w:val="00080AC5"/>
    <w:rsid w:val="000B2412"/>
    <w:rsid w:val="000B29D5"/>
    <w:rsid w:val="000B336C"/>
    <w:rsid w:val="000B68BE"/>
    <w:rsid w:val="000C20C9"/>
    <w:rsid w:val="000C2B5F"/>
    <w:rsid w:val="000C4472"/>
    <w:rsid w:val="000C4CE9"/>
    <w:rsid w:val="000D37BE"/>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691C"/>
    <w:rsid w:val="00196FA4"/>
    <w:rsid w:val="001A32C8"/>
    <w:rsid w:val="001B6B83"/>
    <w:rsid w:val="001C775C"/>
    <w:rsid w:val="001F5638"/>
    <w:rsid w:val="001F6E17"/>
    <w:rsid w:val="00206B13"/>
    <w:rsid w:val="00214B27"/>
    <w:rsid w:val="002159D6"/>
    <w:rsid w:val="00221263"/>
    <w:rsid w:val="00227DC8"/>
    <w:rsid w:val="00243D84"/>
    <w:rsid w:val="00247086"/>
    <w:rsid w:val="002623DE"/>
    <w:rsid w:val="0026413F"/>
    <w:rsid w:val="00292966"/>
    <w:rsid w:val="002B284D"/>
    <w:rsid w:val="002B35AD"/>
    <w:rsid w:val="002B63C7"/>
    <w:rsid w:val="002C33DF"/>
    <w:rsid w:val="002E4577"/>
    <w:rsid w:val="002E5219"/>
    <w:rsid w:val="002E7F5C"/>
    <w:rsid w:val="00304017"/>
    <w:rsid w:val="00322735"/>
    <w:rsid w:val="00323B5B"/>
    <w:rsid w:val="00323E73"/>
    <w:rsid w:val="00324CAC"/>
    <w:rsid w:val="00330690"/>
    <w:rsid w:val="00330EC5"/>
    <w:rsid w:val="0034081B"/>
    <w:rsid w:val="00356249"/>
    <w:rsid w:val="003745F7"/>
    <w:rsid w:val="0038417C"/>
    <w:rsid w:val="003A198F"/>
    <w:rsid w:val="003B0CD8"/>
    <w:rsid w:val="003B3106"/>
    <w:rsid w:val="003C0B25"/>
    <w:rsid w:val="003D73CD"/>
    <w:rsid w:val="00402F2B"/>
    <w:rsid w:val="00406234"/>
    <w:rsid w:val="00414076"/>
    <w:rsid w:val="00422092"/>
    <w:rsid w:val="00441B1D"/>
    <w:rsid w:val="00453E87"/>
    <w:rsid w:val="0047080B"/>
    <w:rsid w:val="004748AD"/>
    <w:rsid w:val="0048162A"/>
    <w:rsid w:val="0049742B"/>
    <w:rsid w:val="004A4291"/>
    <w:rsid w:val="004A7C71"/>
    <w:rsid w:val="004B2865"/>
    <w:rsid w:val="004B6452"/>
    <w:rsid w:val="004D7797"/>
    <w:rsid w:val="004E60AF"/>
    <w:rsid w:val="004F0B21"/>
    <w:rsid w:val="004F77D0"/>
    <w:rsid w:val="00541905"/>
    <w:rsid w:val="005448FF"/>
    <w:rsid w:val="0054559E"/>
    <w:rsid w:val="0054572C"/>
    <w:rsid w:val="00550DFF"/>
    <w:rsid w:val="005554E4"/>
    <w:rsid w:val="00574ADC"/>
    <w:rsid w:val="00582A18"/>
    <w:rsid w:val="005A614F"/>
    <w:rsid w:val="005D01C8"/>
    <w:rsid w:val="0062542F"/>
    <w:rsid w:val="00626D6B"/>
    <w:rsid w:val="006338C7"/>
    <w:rsid w:val="00634000"/>
    <w:rsid w:val="00652EA2"/>
    <w:rsid w:val="00683504"/>
    <w:rsid w:val="006901A4"/>
    <w:rsid w:val="006910EA"/>
    <w:rsid w:val="006B15FB"/>
    <w:rsid w:val="006B396F"/>
    <w:rsid w:val="006C4B45"/>
    <w:rsid w:val="006E2E2C"/>
    <w:rsid w:val="006F3085"/>
    <w:rsid w:val="007070D3"/>
    <w:rsid w:val="007158BF"/>
    <w:rsid w:val="007334E9"/>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408BF"/>
    <w:rsid w:val="00843FE5"/>
    <w:rsid w:val="0085351F"/>
    <w:rsid w:val="00875B90"/>
    <w:rsid w:val="008A18DF"/>
    <w:rsid w:val="008B1C9A"/>
    <w:rsid w:val="008B20CA"/>
    <w:rsid w:val="008C48F0"/>
    <w:rsid w:val="008D4E5B"/>
    <w:rsid w:val="008E69E4"/>
    <w:rsid w:val="009334F1"/>
    <w:rsid w:val="00945553"/>
    <w:rsid w:val="009524E3"/>
    <w:rsid w:val="00957308"/>
    <w:rsid w:val="009836DA"/>
    <w:rsid w:val="009A2EC3"/>
    <w:rsid w:val="009B14EC"/>
    <w:rsid w:val="009B5D59"/>
    <w:rsid w:val="009B73E7"/>
    <w:rsid w:val="009C087B"/>
    <w:rsid w:val="009D11D4"/>
    <w:rsid w:val="009D3B24"/>
    <w:rsid w:val="009E16AD"/>
    <w:rsid w:val="009E49B7"/>
    <w:rsid w:val="009F548B"/>
    <w:rsid w:val="00A0040E"/>
    <w:rsid w:val="00A06BFA"/>
    <w:rsid w:val="00A21996"/>
    <w:rsid w:val="00A41779"/>
    <w:rsid w:val="00A53B3E"/>
    <w:rsid w:val="00A57EDD"/>
    <w:rsid w:val="00A62B96"/>
    <w:rsid w:val="00A808FA"/>
    <w:rsid w:val="00A80E93"/>
    <w:rsid w:val="00A92656"/>
    <w:rsid w:val="00A92D92"/>
    <w:rsid w:val="00A93E06"/>
    <w:rsid w:val="00A97E68"/>
    <w:rsid w:val="00AD2DF8"/>
    <w:rsid w:val="00AE07F4"/>
    <w:rsid w:val="00AF0161"/>
    <w:rsid w:val="00AF4021"/>
    <w:rsid w:val="00AF4E45"/>
    <w:rsid w:val="00B01109"/>
    <w:rsid w:val="00B1781D"/>
    <w:rsid w:val="00B26FDA"/>
    <w:rsid w:val="00B406DA"/>
    <w:rsid w:val="00B67068"/>
    <w:rsid w:val="00B740B9"/>
    <w:rsid w:val="00B747F4"/>
    <w:rsid w:val="00B819B5"/>
    <w:rsid w:val="00BA41DB"/>
    <w:rsid w:val="00BB5474"/>
    <w:rsid w:val="00BB68C1"/>
    <w:rsid w:val="00BC6355"/>
    <w:rsid w:val="00BF7E8E"/>
    <w:rsid w:val="00C25640"/>
    <w:rsid w:val="00C272E7"/>
    <w:rsid w:val="00C42DD6"/>
    <w:rsid w:val="00C46908"/>
    <w:rsid w:val="00C56B88"/>
    <w:rsid w:val="00C601E5"/>
    <w:rsid w:val="00C905E8"/>
    <w:rsid w:val="00CB3BEE"/>
    <w:rsid w:val="00CB49DB"/>
    <w:rsid w:val="00CC2513"/>
    <w:rsid w:val="00CC5AB1"/>
    <w:rsid w:val="00CC6D31"/>
    <w:rsid w:val="00CD02C3"/>
    <w:rsid w:val="00CD0B29"/>
    <w:rsid w:val="00CD3530"/>
    <w:rsid w:val="00CD6025"/>
    <w:rsid w:val="00CD78F8"/>
    <w:rsid w:val="00CE18F5"/>
    <w:rsid w:val="00CE4D12"/>
    <w:rsid w:val="00CF3E06"/>
    <w:rsid w:val="00CF5032"/>
    <w:rsid w:val="00CF703E"/>
    <w:rsid w:val="00D13EFB"/>
    <w:rsid w:val="00D266B1"/>
    <w:rsid w:val="00D540CC"/>
    <w:rsid w:val="00D614CC"/>
    <w:rsid w:val="00D657D2"/>
    <w:rsid w:val="00D70A2C"/>
    <w:rsid w:val="00D73CC6"/>
    <w:rsid w:val="00D76ADF"/>
    <w:rsid w:val="00D81CEC"/>
    <w:rsid w:val="00D94A21"/>
    <w:rsid w:val="00DA37B0"/>
    <w:rsid w:val="00DB32AF"/>
    <w:rsid w:val="00DB71EF"/>
    <w:rsid w:val="00DC56AB"/>
    <w:rsid w:val="00DC7012"/>
    <w:rsid w:val="00DD6553"/>
    <w:rsid w:val="00DE6485"/>
    <w:rsid w:val="00DE7B21"/>
    <w:rsid w:val="00DF1E6E"/>
    <w:rsid w:val="00DF6598"/>
    <w:rsid w:val="00E0648F"/>
    <w:rsid w:val="00E238E0"/>
    <w:rsid w:val="00E31A0C"/>
    <w:rsid w:val="00E31CB8"/>
    <w:rsid w:val="00E42B77"/>
    <w:rsid w:val="00E61109"/>
    <w:rsid w:val="00E651AA"/>
    <w:rsid w:val="00E8672D"/>
    <w:rsid w:val="00EB59E3"/>
    <w:rsid w:val="00EC7180"/>
    <w:rsid w:val="00EE579F"/>
    <w:rsid w:val="00F03677"/>
    <w:rsid w:val="00F15978"/>
    <w:rsid w:val="00F24375"/>
    <w:rsid w:val="00F26A4E"/>
    <w:rsid w:val="00F3774D"/>
    <w:rsid w:val="00F510C5"/>
    <w:rsid w:val="00F63344"/>
    <w:rsid w:val="00F669AC"/>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760EBF1E-211A-4266-8F53-14BA71B5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F948-0725-42BF-842E-8C9F668F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37</Pages>
  <Words>36464</Words>
  <Characters>207847</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243824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7</cp:revision>
  <dcterms:created xsi:type="dcterms:W3CDTF">2015-02-03T00:40:00Z</dcterms:created>
  <dcterms:modified xsi:type="dcterms:W3CDTF">2015-02-03T04:38:00Z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