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5313A" w14:textId="77777777" w:rsidR="00326BF0" w:rsidRDefault="00326BF0" w:rsidP="00326BF0">
      <w:r>
        <w:t>1.)</w:t>
      </w:r>
      <w:r>
        <w:tab/>
        <w:t>Introducing ecological proteomics</w:t>
      </w:r>
    </w:p>
    <w:p w14:paraId="61EE42C7" w14:textId="77777777" w:rsidR="00326BF0" w:rsidRDefault="00326BF0" w:rsidP="00326BF0">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In photosynthesis, for example, light energy captured by light harvesting proteins is used to catalyse carbon uptake from the atmosphere by enzymatic carboxylation. The rate at which plants are able to perform this process is a function of the abundance of photosynthetic proteins in their leaves (Evans 1989?). 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p>
    <w:p w14:paraId="0C84BBCA" w14:textId="77777777" w:rsidR="00326BF0" w:rsidRDefault="00326BF0" w:rsidP="00326BF0">
      <w:r>
        <w:t>Proteomics is becoming a useful tool in ecological and evolutionary research because genomic resources are increasingly available for non-model organisms</w:t>
      </w:r>
      <w:r>
        <w:t xml:space="preserve"> </w:t>
      </w:r>
      <w:r>
        <w:t>(</w:t>
      </w:r>
      <w:proofErr w:type="spellStart"/>
      <w:r>
        <w:t>Armengaud</w:t>
      </w:r>
      <w:proofErr w:type="spellEnd"/>
      <w:r>
        <w:t xml:space="preserve"> et al. 2014; Baer &amp; Millar 2016; </w:t>
      </w:r>
      <w:proofErr w:type="spellStart"/>
      <w:r>
        <w:t>Diz</w:t>
      </w:r>
      <w:proofErr w:type="spellEnd"/>
      <w:r>
        <w:t xml:space="preserve"> &amp; </w:t>
      </w:r>
      <w:proofErr w:type="spellStart"/>
      <w:r>
        <w:t>Calvete</w:t>
      </w:r>
      <w:proofErr w:type="spellEnd"/>
      <w:r>
        <w:t xml:space="preserve"> 2016). </w:t>
      </w:r>
      <w:r w:rsidRPr="00326BF0">
        <w:rPr>
          <w:strike/>
        </w:rPr>
        <w:t>Comparative data on the abundances of proteins or groups of proteins which perform key biochemical functions measured under different environmental conditions could provide mechanistically explicit insight into organism-environment relationships</w:t>
      </w:r>
      <w:r>
        <w:t>. Comparative ecological proteomics require</w:t>
      </w:r>
      <w:r>
        <w:t>s</w:t>
      </w:r>
      <w:r>
        <w:t xml:space="preserve">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77777777" w:rsidR="00326BF0" w:rsidRDefault="00326BF0" w:rsidP="00326BF0">
      <w:r>
        <w:t xml:space="preserve">We have developed proteomics methods which allow comprehensive extraction of leaf proteins and absolute quantification of the top 2000-3000 most abundant proteins. This allows us to compare protein abundances between samples, which has been demonstrated in model organisms under controlled environments (need refs from Steve) but not in a large-scale study </w:t>
      </w:r>
      <w:r>
        <w:t>of</w:t>
      </w:r>
      <w:r>
        <w:t xml:space="preserve"> wild plants. </w:t>
      </w:r>
    </w:p>
    <w:p w14:paraId="337DA1F9" w14:textId="77777777" w:rsidR="00326BF0" w:rsidRDefault="00326BF0" w:rsidP="00326BF0">
      <w:r>
        <w:t>Using this new technology, we have conducted (a/the first) continent-scale ecological proteomics experiment to characterise the influence of biogeographic and environmental controls on leaf protein expression. We analysed 320 eucalypt leaves across 32 species sampled from Tasmania, New South Wales, and Queensland, spanning large gradients of mean annual precipitation and temperature (200-3200 mm</w:t>
      </w:r>
      <w:r>
        <w:t>,</w:t>
      </w:r>
      <w:r>
        <w:t xml:space="preserve"> 5-27 °C</w:t>
      </w:r>
      <w:r>
        <w:t>, respectively</w:t>
      </w:r>
      <w:r>
        <w:t>) (Fig. 1).</w:t>
      </w:r>
    </w:p>
    <w:p w14:paraId="75BB94DC" w14:textId="77777777" w:rsidR="00326BF0" w:rsidRPr="00326BF0" w:rsidRDefault="00326BF0" w:rsidP="00326BF0">
      <w:pPr>
        <w:shd w:val="clear" w:color="auto" w:fill="FFFFFF"/>
        <w:spacing w:after="0" w:line="240" w:lineRule="auto"/>
        <w:rPr>
          <w:rFonts w:ascii="Calibri" w:eastAsia="Times New Roman" w:hAnsi="Calibri" w:cs="Times New Roman"/>
          <w:color w:val="000000"/>
          <w:sz w:val="20"/>
          <w:szCs w:val="24"/>
          <w:lang w:eastAsia="en-AU"/>
        </w:rPr>
      </w:pPr>
      <w:r w:rsidRPr="00326BF0">
        <w:rPr>
          <w:rFonts w:ascii="Calibri" w:eastAsia="Times New Roman" w:hAnsi="Calibri" w:cs="Times New Roman"/>
          <w:color w:val="000000"/>
          <w:sz w:val="20"/>
          <w:szCs w:val="24"/>
          <w:lang w:eastAsia="en-AU"/>
        </w:rPr>
        <w:t xml:space="preserve">- we have had estimates for the sizes of different functional pools of protein in leaves since the 80's - achieved using classical biochemical wizardry (Evans &amp; </w:t>
      </w:r>
      <w:proofErr w:type="spellStart"/>
      <w:r w:rsidRPr="00326BF0">
        <w:rPr>
          <w:rFonts w:ascii="Calibri" w:eastAsia="Times New Roman" w:hAnsi="Calibri" w:cs="Times New Roman"/>
          <w:color w:val="000000"/>
          <w:sz w:val="20"/>
          <w:szCs w:val="24"/>
          <w:lang w:eastAsia="en-AU"/>
        </w:rPr>
        <w:t>Seeman</w:t>
      </w:r>
      <w:proofErr w:type="spellEnd"/>
      <w:r w:rsidRPr="00326BF0">
        <w:rPr>
          <w:rFonts w:ascii="Calibri" w:eastAsia="Times New Roman" w:hAnsi="Calibri" w:cs="Times New Roman"/>
          <w:color w:val="000000"/>
          <w:sz w:val="20"/>
          <w:szCs w:val="24"/>
          <w:lang w:eastAsia="en-AU"/>
        </w:rPr>
        <w:t xml:space="preserve"> 1989). These estimates were made using domesticated plants like spinach from which it was relatively straight forward to extract protein.</w:t>
      </w:r>
    </w:p>
    <w:p w14:paraId="384AC019" w14:textId="77777777" w:rsidR="00326BF0" w:rsidRPr="00326BF0" w:rsidRDefault="00326BF0" w:rsidP="00326BF0">
      <w:pPr>
        <w:shd w:val="clear" w:color="auto" w:fill="FFFFFF"/>
        <w:spacing w:after="0" w:line="240" w:lineRule="auto"/>
        <w:rPr>
          <w:rFonts w:ascii="Calibri" w:eastAsia="Times New Roman" w:hAnsi="Calibri" w:cs="Times New Roman"/>
          <w:color w:val="000000"/>
          <w:sz w:val="20"/>
          <w:szCs w:val="24"/>
          <w:lang w:eastAsia="en-AU"/>
        </w:rPr>
      </w:pPr>
      <w:r w:rsidRPr="00326BF0">
        <w:rPr>
          <w:rFonts w:ascii="Calibri" w:eastAsia="Times New Roman" w:hAnsi="Calibri" w:cs="Times New Roman"/>
          <w:color w:val="000000"/>
          <w:sz w:val="20"/>
          <w:szCs w:val="24"/>
          <w:lang w:eastAsia="en-AU"/>
        </w:rPr>
        <w:t>- roughly 1/4 light harvesting, 1/4 carbon assimilation, 10% respiration (including protein synthesis / degradation etc.))</w:t>
      </w:r>
    </w:p>
    <w:p w14:paraId="26B84272" w14:textId="77777777" w:rsidR="00326BF0" w:rsidRPr="00326BF0" w:rsidRDefault="00326BF0" w:rsidP="00326BF0">
      <w:pPr>
        <w:shd w:val="clear" w:color="auto" w:fill="FFFFFF"/>
        <w:spacing w:after="0" w:line="240" w:lineRule="auto"/>
        <w:rPr>
          <w:rFonts w:ascii="Calibri" w:eastAsia="Times New Roman" w:hAnsi="Calibri" w:cs="Times New Roman"/>
          <w:color w:val="000000"/>
          <w:sz w:val="20"/>
          <w:szCs w:val="24"/>
          <w:lang w:eastAsia="en-AU"/>
        </w:rPr>
      </w:pPr>
      <w:r w:rsidRPr="00326BF0">
        <w:rPr>
          <w:rFonts w:ascii="Calibri" w:eastAsia="Times New Roman" w:hAnsi="Calibri" w:cs="Times New Roman"/>
          <w:color w:val="000000"/>
          <w:sz w:val="20"/>
          <w:szCs w:val="24"/>
          <w:lang w:eastAsia="en-AU"/>
        </w:rPr>
        <w:t>- talk about allocation equations and where the numbers have typically come from (Evans 1989 a/b, see that 2016 review paper for an overview</w:t>
      </w:r>
    </w:p>
    <w:p w14:paraId="05D9CE35" w14:textId="77777777" w:rsidR="00326BF0" w:rsidRPr="00326BF0" w:rsidRDefault="00326BF0" w:rsidP="00326BF0">
      <w:pPr>
        <w:shd w:val="clear" w:color="auto" w:fill="FFFFFF"/>
        <w:spacing w:after="0" w:line="240" w:lineRule="auto"/>
        <w:rPr>
          <w:rFonts w:ascii="Calibri" w:eastAsia="Times New Roman" w:hAnsi="Calibri" w:cs="Times New Roman"/>
          <w:color w:val="000000"/>
          <w:sz w:val="20"/>
          <w:szCs w:val="24"/>
          <w:lang w:eastAsia="en-AU"/>
        </w:rPr>
      </w:pPr>
      <w:r w:rsidRPr="00326BF0">
        <w:rPr>
          <w:rFonts w:ascii="Calibri" w:eastAsia="Times New Roman" w:hAnsi="Calibri" w:cs="Times New Roman"/>
          <w:color w:val="000000"/>
          <w:sz w:val="20"/>
          <w:szCs w:val="24"/>
          <w:lang w:eastAsia="en-AU"/>
        </w:rPr>
        <w:t>- Now using cutting edge mass spectrometric methods we can accurately and rapidly measure amounts of protein at any level of functional organisation, from high level functional categories down to individual protein subunits. We've done this for 32 Eucalypt species spanning broad ranges of environmental conditions across half the Australian continent. </w:t>
      </w:r>
    </w:p>
    <w:p w14:paraId="0FC882FA" w14:textId="77777777" w:rsidR="00326BF0" w:rsidRPr="00326BF0" w:rsidRDefault="00326BF0" w:rsidP="00326BF0">
      <w:pPr>
        <w:shd w:val="clear" w:color="auto" w:fill="FFFFFF"/>
        <w:spacing w:after="0" w:line="240" w:lineRule="auto"/>
        <w:rPr>
          <w:rFonts w:ascii="Calibri" w:eastAsia="Times New Roman" w:hAnsi="Calibri" w:cs="Times New Roman"/>
          <w:color w:val="000000"/>
          <w:sz w:val="20"/>
          <w:szCs w:val="24"/>
          <w:lang w:eastAsia="en-AU"/>
        </w:rPr>
      </w:pPr>
      <w:r w:rsidRPr="00326BF0">
        <w:rPr>
          <w:rFonts w:ascii="Calibri" w:eastAsia="Times New Roman" w:hAnsi="Calibri" w:cs="Times New Roman"/>
          <w:color w:val="000000"/>
          <w:sz w:val="20"/>
          <w:szCs w:val="24"/>
          <w:lang w:eastAsia="en-AU"/>
        </w:rPr>
        <w:t>- We provide an updated, completed quantification of protein allocation to all major leaf protein functional categories. </w:t>
      </w:r>
    </w:p>
    <w:p w14:paraId="1A555B62" w14:textId="77777777" w:rsidR="00326BF0" w:rsidRDefault="00326BF0" w:rsidP="00326BF0"/>
    <w:p w14:paraId="579F78AB" w14:textId="77777777" w:rsidR="00326BF0" w:rsidRDefault="00326BF0" w:rsidP="00326BF0"/>
    <w:p w14:paraId="1BE52F8F" w14:textId="77777777" w:rsidR="00326BF0" w:rsidRDefault="00326BF0" w:rsidP="00326BF0">
      <w:r>
        <w:lastRenderedPageBreak/>
        <w:t xml:space="preserve">Here we do not investigate the very many possible relationships between abundances of different protein functional categories and environmental variables. Rather, we have concentrated this initial analysis on photosynthesis, as it represents one of the most important and abundant set of biochemical reactions in the biosphere (Blankenship &amp; Hartman 1998; Raven 2013). </w:t>
      </w:r>
      <w:r w:rsidRPr="00326BF0">
        <w:rPr>
          <w:strike/>
        </w:rPr>
        <w:t>The 500 most abundant proteins account for &gt;90% total leaf protein by weight and the majority of these are involved in photosynthesis and photorespiration (see Fig. X in Methods).</w:t>
      </w:r>
    </w:p>
    <w:p w14:paraId="425E48F5" w14:textId="77777777" w:rsidR="00326BF0" w:rsidRDefault="00326BF0" w:rsidP="00326BF0">
      <w:r>
        <w:t xml:space="preserve">Much of what is known about variation in photosynthetic capacity in wild plants is derived from measurements of leaf nitrogen content (Wright et al 2004, </w:t>
      </w:r>
      <w:proofErr w:type="spellStart"/>
      <w:r>
        <w:t>Hikosaka</w:t>
      </w:r>
      <w:proofErr w:type="spellEnd"/>
      <w:r>
        <w:t xml:space="preserve"> 2010), on the basis that photosynthetic proteins comprise the largest pool of nitrogen in leaves (REF). A more nuanced understanding of how the photosynthetic apparatus is optimised under varying environmental conditions requires quantifying differential investment in its subcomponents (</w:t>
      </w:r>
      <w:proofErr w:type="spellStart"/>
      <w:r>
        <w:t>Niinemets</w:t>
      </w:r>
      <w:proofErr w:type="spellEnd"/>
      <w:r>
        <w:t xml:space="preserve"> 2007).</w:t>
      </w:r>
    </w:p>
    <w:p w14:paraId="3621A7D6" w14:textId="77777777" w:rsidR="00326BF0" w:rsidRDefault="00326BF0" w:rsidP="00326BF0">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either of these processes can limit the rate of photosynthesis, depending on whether leaves are light or CO2 limited (REF). According to the co-ordination hypothesis of C3 photosynthetic acclimation, proportional allocation of protein resources to the light capturing photosystem complexes and carbon fixing Calvin cycle enzymes should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 2009; </w:t>
      </w:r>
      <w:proofErr w:type="spellStart"/>
      <w:r>
        <w:t>Maire</w:t>
      </w:r>
      <w:proofErr w:type="spellEnd"/>
      <w:r>
        <w:t xml:space="preserve"> et al. 2012). Previously, leaf chlorophyll content expressed in nitrogen equivalents has been used as a proxy for investment in light capturing machinery (</w:t>
      </w:r>
      <w:proofErr w:type="spellStart"/>
      <w:r>
        <w:t>Niinemets</w:t>
      </w:r>
      <w:proofErr w:type="spellEnd"/>
      <w:r>
        <w:t xml:space="preserve"> &amp; </w:t>
      </w:r>
      <w:proofErr w:type="spellStart"/>
      <w:r>
        <w:t>Tenhunen</w:t>
      </w:r>
      <w:proofErr w:type="spellEnd"/>
      <w:r>
        <w:t xml:space="preserve"> 1997), while Rubisco abundance has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4430857F" w14:textId="77777777" w:rsidR="00326BF0" w:rsidRDefault="00326BF0" w:rsidP="00326BF0">
      <w:r>
        <w:t>Following co-ordination theory, we derived a set of predictions about differential investment in light capture and carbon assimilation along gradients of temperature, precipitation and light availability (see Fig. 1b):</w:t>
      </w:r>
    </w:p>
    <w:p w14:paraId="147E414A" w14:textId="77777777" w:rsidR="00326BF0" w:rsidRDefault="00326BF0" w:rsidP="00326BF0">
      <w:commentRangeStart w:id="0"/>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0"/>
      <w:r w:rsidR="00167D9B">
        <w:rPr>
          <w:rStyle w:val="CommentReference"/>
        </w:rPr>
        <w:commentReference w:id="0"/>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Lawson" w:date="2017-07-24T19:01:00Z" w:initials="JL">
    <w:p w14:paraId="716CE88C" w14:textId="77777777" w:rsidR="00167D9B" w:rsidRDefault="00167D9B"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167D9B" w:rsidRDefault="00167D9B" w:rsidP="00167D9B">
      <w:pPr>
        <w:pStyle w:val="CommentText"/>
        <w:rPr>
          <w:color w:val="2A2A2A"/>
          <w:shd w:val="clear" w:color="auto" w:fill="FFFFFF"/>
        </w:rPr>
      </w:pPr>
    </w:p>
    <w:p w14:paraId="0CC1AD9A" w14:textId="77777777" w:rsidR="00167D9B" w:rsidRDefault="00167D9B" w:rsidP="00167D9B">
      <w:pPr>
        <w:pStyle w:val="CommentText"/>
      </w:pPr>
      <w:r>
        <w:t xml:space="preserve">Lots of </w:t>
      </w:r>
      <w:proofErr w:type="spellStart"/>
      <w:r>
        <w:t>coments</w:t>
      </w:r>
      <w:proofErr w:type="spellEnd"/>
      <w:r>
        <w:t xml:space="preserve"> in </w:t>
      </w:r>
      <w:proofErr w:type="spellStart"/>
      <w:r>
        <w:t>Hikosaka</w:t>
      </w:r>
      <w:proofErr w:type="spellEnd"/>
      <w:r>
        <w:t xml:space="preserve"> 2006 about cytochrome b6f acclimation and cytb6f to rubisco ratios, I’m not going to go there.</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167D9B"/>
    <w:rsid w:val="00326BF0"/>
    <w:rsid w:val="007620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2</cp:revision>
  <dcterms:created xsi:type="dcterms:W3CDTF">2017-07-24T06:45:00Z</dcterms:created>
  <dcterms:modified xsi:type="dcterms:W3CDTF">2017-07-24T09:01:00Z</dcterms:modified>
</cp:coreProperties>
</file>