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Michaelis &amp; Menten?).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SuppMat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commentRangeStart w:id="1"/>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1"/>
      <w:r>
        <w:rPr>
          <w:rStyle w:val="CommentReference"/>
        </w:rPr>
        <w:commentReference w:id="1"/>
      </w:r>
    </w:p>
    <w:p w14:paraId="6F0273FF" w14:textId="77777777" w:rsidR="00BC2F9B" w:rsidRDefault="00BC2F9B" w:rsidP="00BC2F9B">
      <w:pPr>
        <w:rPr>
          <w:color w:val="FF0000"/>
        </w:rPr>
      </w:pPr>
      <w:commentRangeStart w:id="2"/>
      <w:r>
        <w:t>The majority</w:t>
      </w:r>
      <w:r w:rsidRPr="006A5466">
        <w:t xml:space="preserve"> </w:t>
      </w:r>
      <w:r>
        <w:t>(64%, SD X%)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X%) (Fig 2a)</w:t>
      </w:r>
      <w:r w:rsidRPr="00BB56F8">
        <w:t>.</w:t>
      </w:r>
      <w:commentRangeEnd w:id="0"/>
      <w:r>
        <w:t xml:space="preserve"> </w:t>
      </w:r>
      <w:r w:rsidRPr="00BC2F9B">
        <w:rPr>
          <w:color w:val="FF0000"/>
        </w:rPr>
        <w:t xml:space="preserve">[need to decide here whether we’re saying that in the large, this mixture is in line with previous intensive results from few species, versus it’s really different, vide previous discussions with steve about uws results] </w:t>
      </w:r>
      <w:r w:rsidRPr="00BC2F9B">
        <w:rPr>
          <w:rStyle w:val="CommentReference"/>
          <w:color w:val="FF0000"/>
          <w:lang w:val="en-GB"/>
        </w:rPr>
        <w:commentReference w:id="0"/>
      </w:r>
      <w:commentRangeEnd w:id="2"/>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2"/>
      </w:r>
      <w:r>
        <w:rPr>
          <w:color w:val="FF0000"/>
        </w:rPr>
        <w:t xml:space="preserve"> on domesticated species such as </w:t>
      </w:r>
      <w:r w:rsidRPr="00540C5C">
        <w:rPr>
          <w:i/>
          <w:color w:val="FF0000"/>
        </w:rPr>
        <w:t>Spinacea oleracea</w:t>
      </w:r>
      <w:r>
        <w:rPr>
          <w:color w:val="FF0000"/>
        </w:rPr>
        <w:t xml:space="preserve">, </w:t>
      </w:r>
      <w:r w:rsidRPr="00540C5C">
        <w:rPr>
          <w:i/>
          <w:color w:val="FF0000"/>
        </w:rPr>
        <w:t>Phaseolus vulgaris</w:t>
      </w:r>
      <w:r>
        <w:rPr>
          <w:color w:val="FF0000"/>
        </w:rPr>
        <w:t xml:space="preserve">, and </w:t>
      </w:r>
      <w:r w:rsidRPr="00540C5C">
        <w:rPr>
          <w:i/>
          <w:color w:val="FF0000"/>
        </w:rPr>
        <w:t>Cucumis sativus</w:t>
      </w:r>
      <w:r>
        <w:rPr>
          <w:color w:val="FF0000"/>
        </w:rPr>
        <w:t xml:space="preserve"> (Evans &amp; Seeman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sampled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b.) first scatterplot panel</w:t>
      </w:r>
    </w:p>
    <w:p w14:paraId="18FAFDDC" w14:textId="1241852D" w:rsidR="00852B9B" w:rsidRPr="00852B9B" w:rsidRDefault="00D23A40" w:rsidP="00BC2F9B">
      <w:pPr>
        <w:rPr>
          <w:u w:val="single"/>
        </w:rPr>
      </w:pPr>
      <w:r>
        <w:rPr>
          <w:u w:val="single"/>
        </w:rPr>
        <w:t>Biogeographic patterns in abundance of photosynthesis proteins</w:t>
      </w:r>
    </w:p>
    <w:p w14:paraId="4DD6A2B8" w14:textId="77777777" w:rsidR="00D23A40" w:rsidRPr="00461E05" w:rsidRDefault="00D23A40" w:rsidP="00D23A40">
      <w:pPr>
        <w:shd w:val="clear" w:color="auto" w:fill="FFFFFF"/>
        <w:spacing w:after="0" w:line="240" w:lineRule="auto"/>
        <w:rPr>
          <w:rFonts w:ascii="Calibri" w:eastAsia="Times New Roman" w:hAnsi="Calibri" w:cs="Times New Roman"/>
          <w:color w:val="FF0000"/>
          <w:sz w:val="20"/>
          <w:szCs w:val="24"/>
          <w:lang w:eastAsia="en-AU"/>
        </w:rPr>
      </w:pPr>
    </w:p>
    <w:p w14:paraId="3F4678F5" w14:textId="7BD27B0F" w:rsidR="00A87ACB" w:rsidRDefault="00D23A40" w:rsidP="00BC2F9B">
      <w:pPr>
        <w:rPr>
          <w:bCs/>
        </w:rPr>
      </w:pPr>
      <w:r w:rsidRPr="00461E05">
        <w:rPr>
          <w:color w:val="FF0000"/>
        </w:rPr>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Seeman 1989). </w:t>
      </w:r>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461E05">
        <w:rPr>
          <w:highlight w:val="yellow"/>
        </w:rPr>
        <w:t xml:space="preserve">Mathematical models of photosynthesis describe two important processes in photosynthetic carbon assimilation: carboxylation of ribulose-1,6-bisphosphate (RuBP) by the enzyme Rubisco, and regeneration of RuBP using energetic products derived from the light reactions of photosynthesis (Farquhar, von Caemmerer &amp; Berry 1980; Farquhar, von Caemmerer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RuBP are co-limiting in leaves under average daytime conditions (Haxeltine &amp; Prentice 1996; Chen et al. 2009; Maire et al. 2012, Niinemets &amp; Tenhuenen 1997). </w:t>
      </w:r>
    </w:p>
    <w:p w14:paraId="27E5DC2D" w14:textId="1B1AB180"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 xml:space="preserve">We expected allocation to photosystem complex proteins would be greatest where photosynthesis is light-limited (Niinemets 2007), and that investment in Calvin cycle enzymes would increase with light availability, since capacity for carboxylation of the small sugar molecule RuBP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r w:rsidR="00A87ACB" w:rsidRPr="00F8120E">
        <w:t>PS</w:t>
      </w:r>
      <w:r w:rsidR="00A87ACB" w:rsidRPr="00F8120E">
        <w:rPr>
          <w:vertAlign w:val="subscript"/>
        </w:rPr>
        <w:t>area</w:t>
      </w:r>
      <w:r w:rsidR="00164C14" w:rsidRPr="00F8120E">
        <w:t xml:space="preserve">) </w:t>
      </w:r>
      <w:r w:rsidR="00A87ACB" w:rsidRPr="00F8120E">
        <w:t xml:space="preserve">and </w:t>
      </w:r>
      <w:r w:rsidR="00164C14" w:rsidRPr="00F8120E">
        <w:t>fractional abundance of photosystems (PS</w:t>
      </w:r>
      <w:r w:rsidR="00164C14" w:rsidRPr="00F8120E">
        <w:rPr>
          <w:vertAlign w:val="subscript"/>
        </w:rPr>
        <w:t>frac</w:t>
      </w:r>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r w:rsidR="00A87ACB" w:rsidRPr="00F8120E">
        <w:t>CC</w:t>
      </w:r>
      <w:r w:rsidR="00A87ACB" w:rsidRPr="00F8120E">
        <w:rPr>
          <w:vertAlign w:val="subscript"/>
        </w:rPr>
        <w:t>area</w:t>
      </w:r>
      <w:r w:rsidR="00164C14" w:rsidRPr="00F8120E">
        <w:t xml:space="preserve">) </w:t>
      </w:r>
      <w:r w:rsidR="008F5F2D" w:rsidRPr="00F8120E">
        <w:t xml:space="preserve">was observed with greater light availability, but </w:t>
      </w:r>
      <w:r w:rsidR="00164C14" w:rsidRPr="00F8120E">
        <w:t>Calvin cycle fractional abundance (</w:t>
      </w:r>
      <w:r w:rsidR="008F5F2D" w:rsidRPr="00F8120E">
        <w:t>CC</w:t>
      </w:r>
      <w:r w:rsidR="008F5F2D" w:rsidRPr="00F8120E">
        <w:rPr>
          <w:vertAlign w:val="subscript"/>
        </w:rPr>
        <w:t>frac</w:t>
      </w:r>
      <w:r w:rsidR="00164C14" w:rsidRPr="00F8120E">
        <w:t xml:space="preserve">) </w:t>
      </w:r>
      <w:r w:rsidR="008F5F2D" w:rsidRPr="00F8120E">
        <w:t>did increase marginally (Fig, %, stat); this fractional increase may be simple outcome of decreasing PS</w:t>
      </w:r>
      <w:r w:rsidR="008F5F2D" w:rsidRPr="00F8120E">
        <w:rPr>
          <w:vertAlign w:val="subscript"/>
        </w:rPr>
        <w:t>frac</w:t>
      </w:r>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Raven &amp; Geider 1988</w:t>
      </w:r>
      <w:r>
        <w:t>)</w:t>
      </w:r>
      <w:r w:rsidR="008E4683">
        <w:t>.</w:t>
      </w:r>
      <w:r>
        <w:t xml:space="preserve"> </w:t>
      </w:r>
      <w:r w:rsidR="008E4683">
        <w:t>T</w:t>
      </w:r>
      <w:r>
        <w:t xml:space="preserve">his effect has been observed for </w:t>
      </w:r>
      <w:commentRangeStart w:id="3"/>
      <w:r>
        <w:t>Rubisco in a number of studies (summarised by Hikosaka et al 2006).</w:t>
      </w:r>
      <w:commentRangeEnd w:id="3"/>
      <w:r>
        <w:rPr>
          <w:rStyle w:val="CommentReference"/>
        </w:rPr>
        <w:commentReference w:id="3"/>
      </w:r>
      <w:r w:rsidR="008E4683">
        <w:t xml:space="preserve"> </w:t>
      </w:r>
    </w:p>
    <w:p w14:paraId="436D2A83" w14:textId="32A3C76E" w:rsidR="008F5F2D" w:rsidRDefault="008E4683" w:rsidP="00BC2F9B">
      <w:pPr>
        <w:rPr>
          <w:u w:val="single"/>
        </w:rPr>
      </w:pPr>
      <w:r>
        <w:rPr>
          <w:u w:val="single"/>
        </w:rPr>
        <w:t>Both CC</w:t>
      </w:r>
      <w:r w:rsidRPr="008F5F2D">
        <w:rPr>
          <w:u w:val="single"/>
          <w:vertAlign w:val="subscript"/>
        </w:rPr>
        <w:t>area</w:t>
      </w:r>
      <w:r>
        <w:rPr>
          <w:u w:val="single"/>
        </w:rPr>
        <w:t xml:space="preserve"> and PS</w:t>
      </w:r>
      <w:r w:rsidRPr="008E4683">
        <w:rPr>
          <w:u w:val="single"/>
          <w:vertAlign w:val="subscript"/>
        </w:rPr>
        <w:t>area</w:t>
      </w:r>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ither CC</w:t>
      </w:r>
      <w:r w:rsidRPr="008E4683">
        <w:rPr>
          <w:u w:val="single"/>
          <w:vertAlign w:val="subscript"/>
        </w:rPr>
        <w:t xml:space="preserve">frac </w:t>
      </w:r>
      <w:r>
        <w:rPr>
          <w:u w:val="single"/>
        </w:rPr>
        <w:t>nor PS</w:t>
      </w:r>
      <w:r w:rsidRPr="008E4683">
        <w:rPr>
          <w:u w:val="single"/>
          <w:vertAlign w:val="subscript"/>
        </w:rPr>
        <w:t>frac</w:t>
      </w:r>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2001a,b, Scalon &amp; Wright 2017). </w:t>
      </w:r>
    </w:p>
    <w:p w14:paraId="0F7153CF" w14:textId="49048372" w:rsidR="0026602F" w:rsidRPr="0026602F" w:rsidRDefault="0026602F" w:rsidP="0026602F">
      <w:r>
        <w:rPr>
          <w:u w:val="single"/>
        </w:rPr>
        <w:t>CC</w:t>
      </w:r>
      <w:r w:rsidRPr="007F0B60">
        <w:rPr>
          <w:u w:val="single"/>
          <w:vertAlign w:val="subscript"/>
        </w:rPr>
        <w:t>area</w:t>
      </w:r>
      <w:r>
        <w:rPr>
          <w:u w:val="single"/>
        </w:rPr>
        <w:t xml:space="preserve"> declined strongly with increasing MAP (Fig x stat %), although n</w:t>
      </w:r>
      <w:r w:rsidRPr="005D41EC">
        <w:rPr>
          <w:u w:val="single"/>
        </w:rPr>
        <w:t xml:space="preserve">o </w:t>
      </w:r>
      <w:r>
        <w:rPr>
          <w:u w:val="single"/>
        </w:rPr>
        <w:t>response of CC</w:t>
      </w:r>
      <w:r>
        <w:rPr>
          <w:u w:val="single"/>
          <w:vertAlign w:val="subscript"/>
        </w:rPr>
        <w:t>frac</w:t>
      </w:r>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the per leaf area amount of Calvin Cycle enzymes, rather than the amounts of these enzymes </w:t>
      </w:r>
      <w:r w:rsidR="009F08E1">
        <w:t>relative to other proteins.</w:t>
      </w:r>
    </w:p>
    <w:p w14:paraId="4B3226AC" w14:textId="4D5C29F9" w:rsidR="00186046" w:rsidRDefault="0026602F" w:rsidP="00BC2F9B">
      <w:r>
        <w:t>PS</w:t>
      </w:r>
      <w:r w:rsidRPr="0026602F">
        <w:rPr>
          <w:vertAlign w:val="subscript"/>
        </w:rPr>
        <w:t>area</w:t>
      </w:r>
      <w:r>
        <w:t xml:space="preserve"> showed no significant trend but PS</w:t>
      </w:r>
      <w:r>
        <w:rPr>
          <w:vertAlign w:val="subscript"/>
        </w:rPr>
        <w:t>frac</w:t>
      </w:r>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5E0269AD" w14:textId="63C31331" w:rsidR="00BC2F9B" w:rsidRDefault="00BC2F9B" w:rsidP="00BC2F9B">
      <w:pPr>
        <w:rPr>
          <w:i/>
        </w:rPr>
      </w:pPr>
      <w:r w:rsidRPr="00231A7D">
        <w:rPr>
          <w:i/>
        </w:rPr>
        <w:t>c</w:t>
      </w:r>
      <w:r w:rsidRPr="00AF3C49">
        <w:rPr>
          <w:i/>
        </w:rPr>
        <w:t>.) second scatterplot panel</w:t>
      </w:r>
    </w:p>
    <w:p w14:paraId="61B9C950" w14:textId="14F4EC20" w:rsidR="00D8531D" w:rsidRDefault="00BC2F9B" w:rsidP="00D8531D">
      <w:r w:rsidRPr="00EC6D32">
        <w:t xml:space="preserve">One obvious way </w:t>
      </w:r>
      <w:r w:rsidR="00C32AF4">
        <w:t>CC</w:t>
      </w:r>
      <w:r w:rsidR="00C32AF4" w:rsidRPr="00C32AF4">
        <w:rPr>
          <w:vertAlign w:val="subscript"/>
        </w:rPr>
        <w:t>area</w:t>
      </w:r>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t>, reflecting the involvement of both nitrogen- and carbon-dominant components in determining LMA</w:t>
      </w:r>
      <w:r>
        <w:t>.</w:t>
      </w:r>
      <w:r w:rsidR="00E47372">
        <w:t xml:space="preserve"> </w:t>
      </w:r>
      <w:r w:rsidR="00D8531D">
        <w:t>Conversely,</w:t>
      </w:r>
      <w:r w:rsidR="00E47372">
        <w:t xml:space="preserve"> </w:t>
      </w:r>
      <w:r w:rsidR="00D8531D">
        <w:t>PS</w:t>
      </w:r>
      <w:r w:rsidR="00D8531D" w:rsidRPr="00C32AF4">
        <w:rPr>
          <w:vertAlign w:val="subscript"/>
        </w:rPr>
        <w:t>area</w:t>
      </w:r>
      <w:r w:rsidR="00D8531D">
        <w:t xml:space="preserve"> was not related to LMA (Fig. 3c-ii), and PS</w:t>
      </w:r>
      <w:r w:rsidR="00D8531D" w:rsidRPr="00C32AF4">
        <w:rPr>
          <w:vertAlign w:val="subscript"/>
        </w:rPr>
        <w:t>frac</w:t>
      </w:r>
      <w:r w:rsidR="00D8531D" w:rsidRPr="00411A91">
        <w:t xml:space="preserve"> </w:t>
      </w:r>
      <w:r w:rsidR="00D8531D">
        <w:t>declined declined notably as LMA increased</w:t>
      </w:r>
      <w:r w:rsidR="00D8531D" w:rsidRPr="00411A91">
        <w:t>.</w:t>
      </w:r>
    </w:p>
    <w:p w14:paraId="6722231C" w14:textId="4ABBADAB" w:rsidR="00D8531D" w:rsidRDefault="00D8531D" w:rsidP="00D8531D">
      <w:r>
        <w:t>The range of interspecific variation in PS</w:t>
      </w:r>
      <w:r w:rsidRPr="00C32AF4">
        <w:rPr>
          <w:vertAlign w:val="subscript"/>
        </w:rPr>
        <w:t>frac</w:t>
      </w:r>
      <w:r>
        <w:t xml:space="preserve"> (0.09-0.23, 2.6-fold) was considerably higher than for CC</w:t>
      </w:r>
      <w:r w:rsidRPr="00C32AF4">
        <w:rPr>
          <w:vertAlign w:val="subscript"/>
        </w:rPr>
        <w:t>frac</w:t>
      </w:r>
      <w:r>
        <w:t xml:space="preserve"> (0.30-0.39, 1.3-fold), and the correlation between PS</w:t>
      </w:r>
      <w:r w:rsidRPr="0006042D">
        <w:rPr>
          <w:vertAlign w:val="subscript"/>
        </w:rPr>
        <w:t>area</w:t>
      </w:r>
      <w:r>
        <w:t xml:space="preserve"> and total leaf protein per area was somewhat weaker than that of CC</w:t>
      </w:r>
      <w:r w:rsidRPr="00037640">
        <w:rPr>
          <w:vertAlign w:val="subscript"/>
        </w:rPr>
        <w:t>area</w:t>
      </w:r>
      <w:r>
        <w:rPr>
          <w:vertAlign w:val="subscript"/>
        </w:rPr>
        <w:t xml:space="preserve"> </w:t>
      </w:r>
      <w:r>
        <w:t>(R2)</w:t>
      </w:r>
      <w:r w:rsidR="00E47372">
        <w:t xml:space="preserve">. </w:t>
      </w:r>
    </w:p>
    <w:p w14:paraId="277D963F" w14:textId="77777777" w:rsidR="00D8531D" w:rsidRPr="00D8531D" w:rsidRDefault="00D8531D" w:rsidP="00D8531D">
      <w:r>
        <w: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t>
      </w:r>
    </w:p>
    <w:p w14:paraId="003407F6" w14:textId="77777777" w:rsidR="00D8531D" w:rsidRDefault="00D8531D" w:rsidP="00BC2F9B"/>
    <w:p w14:paraId="5AA1D682" w14:textId="77777777" w:rsidR="0006042D" w:rsidRDefault="0006042D" w:rsidP="00BC2F9B">
      <w:pPr>
        <w:rPr>
          <w:strike/>
        </w:rPr>
      </w:pPr>
    </w:p>
    <w:p w14:paraId="13D3DE50" w14:textId="77777777" w:rsidR="0006042D" w:rsidRDefault="0006042D" w:rsidP="00BC2F9B">
      <w:pPr>
        <w:rPr>
          <w:strike/>
        </w:rPr>
      </w:pPr>
    </w:p>
    <w:p w14:paraId="1857CEA7" w14:textId="77E80E34" w:rsidR="00BC2F9B" w:rsidRDefault="00BC2F9B" w:rsidP="00BC2F9B">
      <w:pPr>
        <w:rPr>
          <w:i/>
        </w:rPr>
      </w:pPr>
      <w:r w:rsidRPr="0046374A">
        <w:rPr>
          <w:i/>
        </w:rPr>
        <w:t>d.) protein abundance</w:t>
      </w:r>
      <w:r>
        <w:rPr>
          <w:i/>
        </w:rPr>
        <w:t>/concentration/LMA</w:t>
      </w:r>
      <w:r w:rsidRPr="0046374A">
        <w:rPr>
          <w:i/>
        </w:rPr>
        <w:t xml:space="preserve"> multiple regressions</w:t>
      </w:r>
    </w:p>
    <w:p w14:paraId="3EE86D4E" w14:textId="1BC97659" w:rsidR="00F91E6A" w:rsidRDefault="00F91E6A" w:rsidP="00BC2F9B">
      <w:r>
        <w:t xml:space="preserve">Demands for extra Calvin cycle protein at low temperatures (due to temperature dependence of enzyme kinetics) and in water limited environments (to maximise CO2 drawdown at low stomatal </w:t>
      </w:r>
      <w:r>
        <w:lastRenderedPageBreak/>
        <w:t>conductance) were complementary:</w:t>
      </w:r>
      <w:r w:rsidRPr="00F91E6A">
        <w:t xml:space="preserve"> </w:t>
      </w:r>
      <w:r>
        <w:t xml:space="preserve">leaves </w:t>
      </w:r>
      <w:r>
        <w:t xml:space="preserve">sampled at cold dry sites required the most protein, while leaves from warm wet sites experienced neither constraint, having both </w:t>
      </w:r>
      <w:r w:rsidR="00F632B4">
        <w:t>CC</w:t>
      </w:r>
      <w:r w:rsidR="00F632B4" w:rsidRPr="00F632B4">
        <w:rPr>
          <w:vertAlign w:val="subscript"/>
        </w:rPr>
        <w:t>area</w:t>
      </w:r>
      <w:r>
        <w:t xml:space="preserve"> and low LMA.</w:t>
      </w:r>
    </w:p>
    <w:p w14:paraId="79CBB4C6" w14:textId="1E483F66"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w:t>
      </w:r>
      <w:r w:rsidR="00F632B4">
        <w:t>, CC</w:t>
      </w:r>
      <w:r w:rsidR="00F632B4" w:rsidRPr="00F632B4">
        <w:rPr>
          <w:vertAlign w:val="subscript"/>
        </w:rPr>
        <w:t>conc</w:t>
      </w:r>
      <w:r w:rsidRPr="00411A91">
        <w:t xml:space="preserve">) </w:t>
      </w:r>
      <w:r>
        <w:t>in d</w:t>
      </w:r>
      <w:r w:rsidRPr="00411A91">
        <w:t xml:space="preserve">etermining </w:t>
      </w:r>
      <w:r w:rsidR="00F632B4">
        <w:t>CC</w:t>
      </w:r>
      <w:r w:rsidR="00F632B4" w:rsidRPr="00F632B4">
        <w:rPr>
          <w:vertAlign w:val="subscript"/>
        </w:rPr>
        <w:t>area</w:t>
      </w:r>
      <w:commentRangeStart w:id="4"/>
      <w:r w:rsidRPr="00411A91">
        <w:t xml:space="preserve"> depend</w:t>
      </w:r>
      <w:r>
        <w:t>ed</w:t>
      </w:r>
      <w:r w:rsidRPr="00411A91">
        <w:t xml:space="preserve"> interactively on MAP and MAT</w:t>
      </w:r>
      <w:r>
        <w:t xml:space="preserve"> (</w:t>
      </w:r>
      <w:commentRangeEnd w:id="4"/>
      <w:r>
        <w:rPr>
          <w:rStyle w:val="CommentReference"/>
          <w:lang w:val="en-GB"/>
        </w:rPr>
        <w:commentReference w:id="4"/>
      </w:r>
      <w:r>
        <w:t>Fig 3d-ii,iii)</w:t>
      </w:r>
      <w:r w:rsidRPr="00411A91">
        <w:t xml:space="preserve">. Low </w:t>
      </w:r>
      <w:r w:rsidR="00F632B4">
        <w:t>CC</w:t>
      </w:r>
      <w:r w:rsidR="00F632B4" w:rsidRPr="00F632B4">
        <w:rPr>
          <w:vertAlign w:val="subscript"/>
        </w:rPr>
        <w:t>area</w:t>
      </w:r>
      <w:r w:rsidR="00F632B4">
        <w:t xml:space="preserve"> </w:t>
      </w:r>
      <w:r w:rsidRPr="00411A91">
        <w:t xml:space="preserve">at warm, wet sites </w:t>
      </w:r>
      <w:r>
        <w:t>was</w:t>
      </w:r>
      <w:r w:rsidRPr="00411A91">
        <w:t xml:space="preserve"> more closely associated with low LMA than low protein concentration, while high </w:t>
      </w:r>
      <w:r w:rsidR="00F632B4">
        <w:t>CC</w:t>
      </w:r>
      <w:r w:rsidR="00F632B4" w:rsidRPr="00F632B4">
        <w:rPr>
          <w:vertAlign w:val="subscript"/>
        </w:rPr>
        <w:t>area</w:t>
      </w:r>
      <w:r>
        <w:t xml:space="preserve"> cycle protein </w:t>
      </w:r>
      <w:r w:rsidRPr="00411A91">
        <w:t xml:space="preserve">abundance at </w:t>
      </w:r>
      <w:r>
        <w:t>cold</w:t>
      </w:r>
      <w:r w:rsidRPr="00411A91">
        <w:t xml:space="preserve">, dry sites </w:t>
      </w:r>
      <w:r>
        <w:t>wa</w:t>
      </w:r>
      <w:r w:rsidRPr="00411A91">
        <w:t xml:space="preserve">s strongly associated with high </w:t>
      </w:r>
      <w:r w:rsidR="00F632B4">
        <w:t>CC</w:t>
      </w:r>
      <w:r w:rsidR="00F632B4" w:rsidRPr="00F632B4">
        <w:rPr>
          <w:vertAlign w:val="subscript"/>
        </w:rPr>
        <w:t>conc</w:t>
      </w:r>
      <w:r>
        <w:t xml:space="preserve">. </w:t>
      </w:r>
      <w:r w:rsidR="00F632B4">
        <w:t>Thus p</w:t>
      </w:r>
      <w:bookmarkStart w:id="5" w:name="_GoBack"/>
      <w:bookmarkEnd w:id="5"/>
      <w:r>
        <w:t xml:space="preserve">lants </w:t>
      </w:r>
      <w:r w:rsidR="00D8531D">
        <w:t>construct</w:t>
      </w:r>
      <w:r>
        <w:t xml:space="preserve"> cheaper leaves at warm wet sites, where photosynthetic reaction kinetics are increased and plants are not water limited.</w:t>
      </w:r>
    </w:p>
    <w:p w14:paraId="16E2F5FC" w14:textId="1B40DEE1" w:rsidR="00641FD1" w:rsidRDefault="00641FD1"/>
    <w:p w14:paraId="22B31D48" w14:textId="4C7707D5" w:rsidR="00C32AF4" w:rsidRDefault="00C32AF4"/>
    <w:p w14:paraId="0D744475" w14:textId="01B2BFF9" w:rsidR="00C32AF4" w:rsidRDefault="00C32AF4"/>
    <w:p w14:paraId="417B7625" w14:textId="3870363F" w:rsidR="00F91E6A" w:rsidRDefault="00F91E6A"/>
    <w:p w14:paraId="31F407BA" w14:textId="77777777" w:rsidR="00F91E6A" w:rsidRPr="00F91E6A" w:rsidRDefault="00F91E6A" w:rsidP="00F91E6A">
      <w:pPr>
        <w:rPr>
          <w:strike/>
        </w:rPr>
      </w:pPr>
      <w:r w:rsidRPr="00F91E6A">
        <w:rPr>
          <w:strike/>
        </w:rPr>
        <w:t>We expected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43DDE055" w14:textId="77777777" w:rsidR="00F91E6A" w:rsidRDefault="00F91E6A"/>
    <w:p w14:paraId="15F9F003" w14:textId="30795CDC" w:rsidR="00C32AF4" w:rsidRDefault="00C32AF4"/>
    <w:p w14:paraId="144C508A" w14:textId="77777777" w:rsidR="00C32AF4" w:rsidRPr="00C32AF4" w:rsidRDefault="00C32AF4" w:rsidP="00C32AF4">
      <w:pPr>
        <w:rPr>
          <w:strike/>
        </w:rPr>
      </w:pPr>
      <w:r w:rsidRPr="00C32AF4">
        <w:rPr>
          <w:strike/>
        </w:rPr>
        <w:t xml:space="preserve">Indicates that drawdown capacity is a per area thing, rather than a % thing. This matches with the previous lit. </w:t>
      </w:r>
    </w:p>
    <w:p w14:paraId="425F8962" w14:textId="77777777" w:rsidR="00C32AF4" w:rsidRDefault="00C32AF4" w:rsidP="00C32AF4"/>
    <w:p w14:paraId="66265961" w14:textId="77777777" w:rsidR="00C32AF4" w:rsidRDefault="00C32AF4" w:rsidP="00C32AF4">
      <w:r>
        <w:rPr>
          <w:u w:val="single"/>
        </w:rPr>
        <w:t>It is worth noting at this point that CC</w:t>
      </w:r>
      <w:r w:rsidRPr="00EE2814">
        <w:rPr>
          <w:u w:val="single"/>
          <w:vertAlign w:val="subscript"/>
        </w:rPr>
        <w:t>area</w:t>
      </w:r>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158677CC" w14:textId="77777777" w:rsidR="0006042D" w:rsidRPr="0006042D" w:rsidRDefault="0006042D" w:rsidP="0006042D">
      <w:pPr>
        <w:rPr>
          <w:strike/>
        </w:rPr>
      </w:pPr>
      <w:r w:rsidRPr="0006042D">
        <w:rPr>
          <w:strike/>
        </w:rPr>
        <w:t xml:space="preserve">Leaf nitrogen per area was a strong predictor of both Calvin cycle and photosystem protein abundance per leaf area, and no relative changes in these protein categories occurred with increasing nitrogen per area. </w:t>
      </w:r>
    </w:p>
    <w:p w14:paraId="3AEC3F7C" w14:textId="77777777" w:rsidR="00C32AF4" w:rsidRPr="00FB7FF3" w:rsidRDefault="00C32AF4"/>
    <w:sectPr w:rsidR="00C32AF4"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r w:rsidRPr="00FC0CB9">
        <w:rPr>
          <w:rFonts w:ascii="Calibri" w:eastAsia="Times New Roman" w:hAnsi="Calibri" w:cs="Times New Roman"/>
          <w:color w:val="000000"/>
          <w:sz w:val="24"/>
          <w:szCs w:val="24"/>
          <w:lang w:eastAsia="en-AU"/>
        </w:rPr>
        <w:t>we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Evans &amp; Seeman 1989). These estimates were made using domesticated plants like spinach</w:t>
      </w:r>
      <w:r>
        <w:rPr>
          <w:rFonts w:ascii="Calibri" w:eastAsia="Times New Roman" w:hAnsi="Calibri" w:cs="Times New Roman"/>
          <w:color w:val="000000"/>
          <w:sz w:val="24"/>
          <w:szCs w:val="24"/>
          <w:lang w:eastAsia="en-AU"/>
        </w:rPr>
        <w:t>, plantago,</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 xml:space="preserve">phaseolus, curcumis,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allocation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roughly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r>
        <w:rPr>
          <w:rFonts w:ascii="Calibri" w:eastAsia="Times New Roman" w:hAnsi="Calibri" w:cs="Times New Roman"/>
          <w:color w:val="000000"/>
          <w:sz w:val="24"/>
          <w:szCs w:val="24"/>
          <w:lang w:eastAsia="en-AU"/>
        </w:rPr>
        <w:t>Quebbeman</w:t>
      </w:r>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3"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 w:id="4" w:author="Mark Westoby" w:date="2017-07-12T10:30:00Z" w:initials="MW">
    <w:p w14:paraId="5D9E38B7" w14:textId="77777777" w:rsidR="00BC2F9B" w:rsidRDefault="00BC2F9B" w:rsidP="00BC2F9B">
      <w:pPr>
        <w:pStyle w:val="CommentText"/>
      </w:pPr>
      <w:r>
        <w:rPr>
          <w:rStyle w:val="CommentReference"/>
        </w:rPr>
        <w:annotationRef/>
      </w:r>
      <w:r>
        <w:t>Hard to interpret from these graphs – is it that operates via increasing LMA toward lower precip, but more by increasing N conc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56326" w15:done="0"/>
  <w15:commentEx w15:paraId="24499A8C" w15:done="0"/>
  <w15:commentEx w15:paraId="2BC10B60" w15:done="0"/>
  <w15:commentEx w15:paraId="7178645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37640"/>
    <w:rsid w:val="000560B7"/>
    <w:rsid w:val="000571E6"/>
    <w:rsid w:val="0006042D"/>
    <w:rsid w:val="00164C14"/>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B18D5"/>
    <w:rsid w:val="00755594"/>
    <w:rsid w:val="007F0B60"/>
    <w:rsid w:val="008002F3"/>
    <w:rsid w:val="008365E6"/>
    <w:rsid w:val="00852B9B"/>
    <w:rsid w:val="008E4683"/>
    <w:rsid w:val="008F5F2D"/>
    <w:rsid w:val="008F71F9"/>
    <w:rsid w:val="009B29C8"/>
    <w:rsid w:val="009F08E1"/>
    <w:rsid w:val="00A87ACB"/>
    <w:rsid w:val="00B84B83"/>
    <w:rsid w:val="00BC2F9B"/>
    <w:rsid w:val="00C32AF4"/>
    <w:rsid w:val="00CE09CE"/>
    <w:rsid w:val="00D23A40"/>
    <w:rsid w:val="00D263A7"/>
    <w:rsid w:val="00D8531D"/>
    <w:rsid w:val="00E47372"/>
    <w:rsid w:val="00EE2814"/>
    <w:rsid w:val="00F52138"/>
    <w:rsid w:val="00F55E4E"/>
    <w:rsid w:val="00F632B4"/>
    <w:rsid w:val="00F8120E"/>
    <w:rsid w:val="00F91E6A"/>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15</cp:revision>
  <dcterms:created xsi:type="dcterms:W3CDTF">2017-10-10T23:08:00Z</dcterms:created>
  <dcterms:modified xsi:type="dcterms:W3CDTF">2017-10-18T23:50:00Z</dcterms:modified>
</cp:coreProperties>
</file>