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B3A" w14:textId="4F49D7BD" w:rsidR="003D0F26" w:rsidRDefault="00597B3F" w:rsidP="003D0F26">
      <w:pPr>
        <w:rPr>
          <w:b/>
        </w:rPr>
      </w:pPr>
      <w:r>
        <w:rPr>
          <w:b/>
        </w:rPr>
        <w:t>Supporting Information</w:t>
      </w:r>
    </w:p>
    <w:p w14:paraId="659DEAF5" w14:textId="1A5A23AC" w:rsidR="00597B3F" w:rsidRPr="00EC57C2" w:rsidRDefault="00597B3F" w:rsidP="003D0F26">
      <w:pPr>
        <w:rPr>
          <w:b/>
          <w:i/>
        </w:rPr>
      </w:pPr>
      <w:r w:rsidRPr="00EC57C2">
        <w:rPr>
          <w:i/>
        </w:rPr>
        <w:t>Appendix S1 – Field site details,</w:t>
      </w:r>
      <w:r w:rsidR="00410D62">
        <w:rPr>
          <w:i/>
        </w:rPr>
        <w:t xml:space="preserve"> correlation between hydrological metrics,</w:t>
      </w:r>
      <w:r w:rsidRPr="00EC57C2">
        <w:rPr>
          <w:i/>
        </w:rPr>
        <w:t xml:space="preserve"> dataset characteristics, </w:t>
      </w:r>
      <w:proofErr w:type="gramStart"/>
      <w:r w:rsidRPr="00EC57C2">
        <w:rPr>
          <w:i/>
        </w:rPr>
        <w:t>references</w:t>
      </w:r>
      <w:proofErr w:type="gramEnd"/>
      <w:r w:rsidRPr="00EC57C2">
        <w:rPr>
          <w:i/>
        </w:rPr>
        <w:t xml:space="preserve"> for externally sourced wood de</w:t>
      </w:r>
      <w:r w:rsidR="00296070" w:rsidRPr="00EC57C2">
        <w:rPr>
          <w:i/>
        </w:rPr>
        <w:t>nsity values.</w:t>
      </w:r>
    </w:p>
    <w:p w14:paraId="6EB71F8F" w14:textId="77777777" w:rsidR="003D0F26" w:rsidRPr="00597B3F" w:rsidRDefault="003D0F26" w:rsidP="003D0F26">
      <w:pPr>
        <w:pStyle w:val="Caption"/>
        <w:keepNext/>
        <w:spacing w:line="360" w:lineRule="auto"/>
        <w:rPr>
          <w:color w:val="auto"/>
          <w:sz w:val="22"/>
          <w:szCs w:val="22"/>
        </w:rPr>
      </w:pPr>
      <w:r w:rsidRPr="00597B3F">
        <w:rPr>
          <w:b/>
          <w:color w:val="auto"/>
          <w:sz w:val="22"/>
          <w:szCs w:val="22"/>
        </w:rPr>
        <w:lastRenderedPageBreak/>
        <w:t xml:space="preserve">Table </w:t>
      </w:r>
      <w:r w:rsidRPr="00597B3F">
        <w:rPr>
          <w:b/>
          <w:color w:val="auto"/>
          <w:sz w:val="22"/>
          <w:szCs w:val="22"/>
        </w:rPr>
        <w:fldChar w:fldCharType="begin"/>
      </w:r>
      <w:r w:rsidRPr="00597B3F">
        <w:rPr>
          <w:b/>
          <w:color w:val="auto"/>
          <w:sz w:val="22"/>
          <w:szCs w:val="22"/>
        </w:rPr>
        <w:instrText xml:space="preserve"> SEQ Table \* ARABIC </w:instrText>
      </w:r>
      <w:r w:rsidRPr="00597B3F">
        <w:rPr>
          <w:b/>
          <w:color w:val="auto"/>
          <w:sz w:val="22"/>
          <w:szCs w:val="22"/>
        </w:rPr>
        <w:fldChar w:fldCharType="separate"/>
      </w:r>
      <w:r w:rsidRPr="00597B3F">
        <w:rPr>
          <w:b/>
          <w:noProof/>
          <w:color w:val="auto"/>
          <w:sz w:val="22"/>
          <w:szCs w:val="22"/>
        </w:rPr>
        <w:t>1</w:t>
      </w:r>
      <w:r w:rsidRPr="00597B3F">
        <w:rPr>
          <w:b/>
          <w:color w:val="auto"/>
          <w:sz w:val="22"/>
          <w:szCs w:val="22"/>
        </w:rPr>
        <w:fldChar w:fldCharType="end"/>
      </w:r>
      <w:r w:rsidRPr="00597B3F">
        <w:rPr>
          <w:b/>
          <w:color w:val="auto"/>
          <w:sz w:val="22"/>
          <w:szCs w:val="22"/>
        </w:rPr>
        <w:t>.</w:t>
      </w:r>
      <w:r w:rsidRPr="00597B3F">
        <w:rPr>
          <w:color w:val="auto"/>
          <w:sz w:val="22"/>
          <w:szCs w:val="22"/>
        </w:rPr>
        <w:t xml:space="preserve"> Locations and characteristics of field sites. Hydrological class refers to the classification by Kennard et al. (2010).</w:t>
      </w:r>
    </w:p>
    <w:tbl>
      <w:tblPr>
        <w:tblStyle w:val="TableGrid"/>
        <w:tblW w:w="0" w:type="auto"/>
        <w:tblLook w:val="04A0" w:firstRow="1" w:lastRow="0" w:firstColumn="1" w:lastColumn="0" w:noHBand="0" w:noVBand="1"/>
      </w:tblPr>
      <w:tblGrid>
        <w:gridCol w:w="1848"/>
        <w:gridCol w:w="1848"/>
        <w:gridCol w:w="1848"/>
        <w:gridCol w:w="1849"/>
      </w:tblGrid>
      <w:tr w:rsidR="00597B3F" w:rsidRPr="00597B3F" w14:paraId="3DC72E68" w14:textId="77777777" w:rsidTr="00932B8C">
        <w:tc>
          <w:tcPr>
            <w:tcW w:w="1848" w:type="dxa"/>
          </w:tcPr>
          <w:p w14:paraId="0242A431" w14:textId="77777777" w:rsidR="003D0F26" w:rsidRPr="00597B3F" w:rsidRDefault="003D0F26" w:rsidP="003D0F26">
            <w:pPr>
              <w:pStyle w:val="Caption"/>
              <w:keepNext/>
              <w:spacing w:line="276" w:lineRule="auto"/>
              <w:rPr>
                <w:b/>
                <w:i w:val="0"/>
                <w:color w:val="auto"/>
                <w:szCs w:val="22"/>
              </w:rPr>
            </w:pPr>
            <w:r w:rsidRPr="00597B3F">
              <w:rPr>
                <w:b/>
                <w:i w:val="0"/>
                <w:color w:val="auto"/>
                <w:szCs w:val="22"/>
              </w:rPr>
              <w:t>Site</w:t>
            </w:r>
          </w:p>
        </w:tc>
        <w:tc>
          <w:tcPr>
            <w:tcW w:w="1848" w:type="dxa"/>
          </w:tcPr>
          <w:p w14:paraId="51A1AD5D" w14:textId="77777777" w:rsidR="003D0F26" w:rsidRPr="00597B3F" w:rsidRDefault="003D0F26" w:rsidP="003D0F26">
            <w:pPr>
              <w:pStyle w:val="Caption"/>
              <w:keepNext/>
              <w:spacing w:line="276" w:lineRule="auto"/>
              <w:rPr>
                <w:b/>
                <w:i w:val="0"/>
                <w:color w:val="auto"/>
                <w:szCs w:val="22"/>
              </w:rPr>
            </w:pPr>
            <w:r w:rsidRPr="00597B3F">
              <w:rPr>
                <w:b/>
                <w:i w:val="0"/>
                <w:color w:val="auto"/>
                <w:szCs w:val="22"/>
              </w:rPr>
              <w:t>Longitude</w:t>
            </w:r>
          </w:p>
        </w:tc>
        <w:tc>
          <w:tcPr>
            <w:tcW w:w="1848" w:type="dxa"/>
          </w:tcPr>
          <w:p w14:paraId="4284A027" w14:textId="77777777" w:rsidR="003D0F26" w:rsidRPr="00597B3F" w:rsidRDefault="003D0F26" w:rsidP="003D0F26">
            <w:pPr>
              <w:pStyle w:val="Caption"/>
              <w:keepNext/>
              <w:spacing w:line="276" w:lineRule="auto"/>
              <w:rPr>
                <w:b/>
                <w:i w:val="0"/>
                <w:color w:val="auto"/>
                <w:szCs w:val="22"/>
              </w:rPr>
            </w:pPr>
            <w:r w:rsidRPr="00597B3F">
              <w:rPr>
                <w:b/>
                <w:i w:val="0"/>
                <w:color w:val="auto"/>
                <w:szCs w:val="22"/>
              </w:rPr>
              <w:t>Latitude</w:t>
            </w:r>
          </w:p>
        </w:tc>
        <w:tc>
          <w:tcPr>
            <w:tcW w:w="1849" w:type="dxa"/>
          </w:tcPr>
          <w:p w14:paraId="7500E111" w14:textId="77777777" w:rsidR="003D0F26" w:rsidRPr="00597B3F" w:rsidRDefault="003D0F26" w:rsidP="003D0F26">
            <w:pPr>
              <w:pStyle w:val="Caption"/>
              <w:keepNext/>
              <w:spacing w:line="276" w:lineRule="auto"/>
              <w:rPr>
                <w:b/>
                <w:i w:val="0"/>
                <w:color w:val="auto"/>
                <w:szCs w:val="22"/>
              </w:rPr>
            </w:pPr>
            <w:r w:rsidRPr="00597B3F">
              <w:rPr>
                <w:b/>
                <w:i w:val="0"/>
                <w:color w:val="auto"/>
                <w:szCs w:val="22"/>
              </w:rPr>
              <w:t>Hydrological class</w:t>
            </w:r>
          </w:p>
        </w:tc>
      </w:tr>
      <w:tr w:rsidR="00597B3F" w:rsidRPr="00597B3F" w14:paraId="207EE0DC" w14:textId="77777777" w:rsidTr="00932B8C">
        <w:tc>
          <w:tcPr>
            <w:tcW w:w="1848" w:type="dxa"/>
          </w:tcPr>
          <w:p w14:paraId="1D4C0E8B" w14:textId="77777777" w:rsidR="003D0F26" w:rsidRPr="00597B3F" w:rsidRDefault="003D0F26" w:rsidP="003D0F26">
            <w:pPr>
              <w:pStyle w:val="Caption"/>
              <w:keepNext/>
              <w:spacing w:line="276" w:lineRule="auto"/>
              <w:rPr>
                <w:i w:val="0"/>
                <w:color w:val="auto"/>
                <w:szCs w:val="22"/>
              </w:rPr>
            </w:pPr>
            <w:r w:rsidRPr="00597B3F">
              <w:rPr>
                <w:i w:val="0"/>
                <w:color w:val="auto"/>
                <w:szCs w:val="22"/>
              </w:rPr>
              <w:t>Snowy Creek</w:t>
            </w:r>
          </w:p>
        </w:tc>
        <w:tc>
          <w:tcPr>
            <w:tcW w:w="1848" w:type="dxa"/>
          </w:tcPr>
          <w:p w14:paraId="09D6BE45"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147.413</w:t>
            </w:r>
          </w:p>
        </w:tc>
        <w:tc>
          <w:tcPr>
            <w:tcW w:w="1848" w:type="dxa"/>
          </w:tcPr>
          <w:p w14:paraId="0E4E1365"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-36.569</w:t>
            </w:r>
          </w:p>
        </w:tc>
        <w:tc>
          <w:tcPr>
            <w:tcW w:w="1849" w:type="dxa"/>
          </w:tcPr>
          <w:p w14:paraId="644AB140"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stable winter </w:t>
            </w:r>
            <w:proofErr w:type="spellStart"/>
            <w:r w:rsidRPr="00597B3F">
              <w:rPr>
                <w:i w:val="0"/>
                <w:color w:val="auto"/>
                <w:szCs w:val="22"/>
              </w:rPr>
              <w:t>baseflow</w:t>
            </w:r>
            <w:proofErr w:type="spellEnd"/>
          </w:p>
        </w:tc>
      </w:tr>
      <w:tr w:rsidR="00597B3F" w:rsidRPr="00597B3F" w14:paraId="4A4618E3" w14:textId="77777777" w:rsidTr="00932B8C">
        <w:tc>
          <w:tcPr>
            <w:tcW w:w="1848" w:type="dxa"/>
          </w:tcPr>
          <w:p w14:paraId="3E850E05" w14:textId="77777777" w:rsidR="003D0F26" w:rsidRPr="00597B3F" w:rsidRDefault="003D0F26" w:rsidP="003D0F26">
            <w:pPr>
              <w:pStyle w:val="Caption"/>
              <w:keepNext/>
              <w:spacing w:line="276" w:lineRule="auto"/>
              <w:rPr>
                <w:i w:val="0"/>
                <w:color w:val="auto"/>
                <w:szCs w:val="22"/>
              </w:rPr>
            </w:pPr>
            <w:proofErr w:type="spellStart"/>
            <w:r w:rsidRPr="00597B3F">
              <w:rPr>
                <w:i w:val="0"/>
                <w:color w:val="auto"/>
                <w:szCs w:val="22"/>
              </w:rPr>
              <w:t>Gibbo</w:t>
            </w:r>
            <w:proofErr w:type="spellEnd"/>
            <w:r w:rsidRPr="00597B3F">
              <w:rPr>
                <w:i w:val="0"/>
                <w:color w:val="auto"/>
                <w:szCs w:val="22"/>
              </w:rPr>
              <w:t xml:space="preserve"> River</w:t>
            </w:r>
          </w:p>
        </w:tc>
        <w:tc>
          <w:tcPr>
            <w:tcW w:w="1848" w:type="dxa"/>
          </w:tcPr>
          <w:p w14:paraId="1177B534"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147.709</w:t>
            </w:r>
          </w:p>
        </w:tc>
        <w:tc>
          <w:tcPr>
            <w:tcW w:w="1848" w:type="dxa"/>
          </w:tcPr>
          <w:p w14:paraId="386F4822"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-36.756</w:t>
            </w:r>
          </w:p>
        </w:tc>
        <w:tc>
          <w:tcPr>
            <w:tcW w:w="1849" w:type="dxa"/>
          </w:tcPr>
          <w:p w14:paraId="202F1BB1"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stable winter </w:t>
            </w:r>
            <w:proofErr w:type="spellStart"/>
            <w:r w:rsidRPr="00597B3F">
              <w:rPr>
                <w:i w:val="0"/>
                <w:color w:val="auto"/>
                <w:szCs w:val="22"/>
              </w:rPr>
              <w:t>baseflow</w:t>
            </w:r>
            <w:proofErr w:type="spellEnd"/>
          </w:p>
        </w:tc>
      </w:tr>
      <w:tr w:rsidR="00597B3F" w:rsidRPr="00597B3F" w14:paraId="5AC86A1E" w14:textId="77777777" w:rsidTr="00932B8C">
        <w:tc>
          <w:tcPr>
            <w:tcW w:w="1848" w:type="dxa"/>
          </w:tcPr>
          <w:p w14:paraId="7E359028" w14:textId="77777777" w:rsidR="003D0F26" w:rsidRPr="00597B3F" w:rsidRDefault="003D0F26" w:rsidP="003D0F26">
            <w:pPr>
              <w:pStyle w:val="Caption"/>
              <w:keepNext/>
              <w:spacing w:line="276" w:lineRule="auto"/>
              <w:rPr>
                <w:i w:val="0"/>
                <w:color w:val="auto"/>
                <w:szCs w:val="22"/>
              </w:rPr>
            </w:pPr>
            <w:proofErr w:type="spellStart"/>
            <w:r w:rsidRPr="00597B3F">
              <w:rPr>
                <w:i w:val="0"/>
                <w:color w:val="auto"/>
                <w:szCs w:val="22"/>
              </w:rPr>
              <w:t>Goodradigbee</w:t>
            </w:r>
            <w:proofErr w:type="spellEnd"/>
            <w:r w:rsidRPr="00597B3F">
              <w:rPr>
                <w:i w:val="0"/>
                <w:color w:val="auto"/>
                <w:szCs w:val="22"/>
              </w:rPr>
              <w:t xml:space="preserve"> River</w:t>
            </w:r>
          </w:p>
        </w:tc>
        <w:tc>
          <w:tcPr>
            <w:tcW w:w="1848" w:type="dxa"/>
          </w:tcPr>
          <w:p w14:paraId="67E84A9C"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147.826</w:t>
            </w:r>
          </w:p>
        </w:tc>
        <w:tc>
          <w:tcPr>
            <w:tcW w:w="1848" w:type="dxa"/>
          </w:tcPr>
          <w:p w14:paraId="55833B15"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-36.444</w:t>
            </w:r>
          </w:p>
        </w:tc>
        <w:tc>
          <w:tcPr>
            <w:tcW w:w="1849" w:type="dxa"/>
          </w:tcPr>
          <w:p w14:paraId="267E6A80"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stable winter </w:t>
            </w:r>
            <w:proofErr w:type="spellStart"/>
            <w:r w:rsidRPr="00597B3F">
              <w:rPr>
                <w:i w:val="0"/>
                <w:color w:val="auto"/>
                <w:szCs w:val="22"/>
              </w:rPr>
              <w:t>baseflow</w:t>
            </w:r>
            <w:proofErr w:type="spellEnd"/>
          </w:p>
        </w:tc>
      </w:tr>
      <w:tr w:rsidR="00597B3F" w:rsidRPr="00597B3F" w14:paraId="30F989C8" w14:textId="77777777" w:rsidTr="00932B8C">
        <w:tc>
          <w:tcPr>
            <w:tcW w:w="1848" w:type="dxa"/>
          </w:tcPr>
          <w:p w14:paraId="559BF4E3" w14:textId="77777777" w:rsidR="003D0F26" w:rsidRPr="00597B3F" w:rsidRDefault="003D0F26" w:rsidP="003D0F26">
            <w:pPr>
              <w:pStyle w:val="Caption"/>
              <w:keepNext/>
              <w:spacing w:line="276" w:lineRule="auto"/>
              <w:rPr>
                <w:i w:val="0"/>
                <w:color w:val="auto"/>
                <w:szCs w:val="22"/>
              </w:rPr>
            </w:pPr>
            <w:r w:rsidRPr="00597B3F">
              <w:rPr>
                <w:i w:val="0"/>
                <w:color w:val="auto"/>
                <w:szCs w:val="22"/>
              </w:rPr>
              <w:t>Nariel Creek</w:t>
            </w:r>
          </w:p>
        </w:tc>
        <w:tc>
          <w:tcPr>
            <w:tcW w:w="1848" w:type="dxa"/>
          </w:tcPr>
          <w:p w14:paraId="5B0E8932"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148.731</w:t>
            </w:r>
          </w:p>
        </w:tc>
        <w:tc>
          <w:tcPr>
            <w:tcW w:w="1848" w:type="dxa"/>
          </w:tcPr>
          <w:p w14:paraId="57B2301C"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-36.421</w:t>
            </w:r>
          </w:p>
        </w:tc>
        <w:tc>
          <w:tcPr>
            <w:tcW w:w="1849" w:type="dxa"/>
          </w:tcPr>
          <w:p w14:paraId="69EC800E"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stable winter </w:t>
            </w:r>
            <w:proofErr w:type="spellStart"/>
            <w:r w:rsidRPr="00597B3F">
              <w:rPr>
                <w:i w:val="0"/>
                <w:color w:val="auto"/>
                <w:szCs w:val="22"/>
              </w:rPr>
              <w:t>baseflow</w:t>
            </w:r>
            <w:proofErr w:type="spellEnd"/>
          </w:p>
        </w:tc>
      </w:tr>
      <w:tr w:rsidR="00597B3F" w:rsidRPr="00597B3F" w14:paraId="4D29F0CF" w14:textId="77777777" w:rsidTr="00932B8C">
        <w:tc>
          <w:tcPr>
            <w:tcW w:w="1848" w:type="dxa"/>
          </w:tcPr>
          <w:p w14:paraId="70277853" w14:textId="77777777" w:rsidR="003D0F26" w:rsidRPr="00597B3F" w:rsidRDefault="003D0F26" w:rsidP="003D0F26">
            <w:pPr>
              <w:pStyle w:val="Caption"/>
              <w:keepNext/>
              <w:spacing w:line="276" w:lineRule="auto"/>
              <w:rPr>
                <w:i w:val="0"/>
                <w:color w:val="auto"/>
                <w:szCs w:val="22"/>
              </w:rPr>
            </w:pPr>
            <w:r w:rsidRPr="00597B3F">
              <w:rPr>
                <w:i w:val="0"/>
                <w:color w:val="auto"/>
                <w:szCs w:val="22"/>
              </w:rPr>
              <w:t>Jacob’s River</w:t>
            </w:r>
          </w:p>
        </w:tc>
        <w:tc>
          <w:tcPr>
            <w:tcW w:w="1848" w:type="dxa"/>
          </w:tcPr>
          <w:p w14:paraId="353FEA9C"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148.427</w:t>
            </w:r>
          </w:p>
        </w:tc>
        <w:tc>
          <w:tcPr>
            <w:tcW w:w="1848" w:type="dxa"/>
          </w:tcPr>
          <w:p w14:paraId="70183038"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-36.727</w:t>
            </w:r>
          </w:p>
        </w:tc>
        <w:tc>
          <w:tcPr>
            <w:tcW w:w="1849" w:type="dxa"/>
          </w:tcPr>
          <w:p w14:paraId="6AFED478"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stable winter </w:t>
            </w:r>
            <w:proofErr w:type="spellStart"/>
            <w:r w:rsidRPr="00597B3F">
              <w:rPr>
                <w:i w:val="0"/>
                <w:color w:val="auto"/>
                <w:szCs w:val="22"/>
              </w:rPr>
              <w:t>baseflow</w:t>
            </w:r>
            <w:proofErr w:type="spellEnd"/>
          </w:p>
        </w:tc>
      </w:tr>
      <w:tr w:rsidR="00597B3F" w:rsidRPr="00597B3F" w14:paraId="447C26F2" w14:textId="77777777" w:rsidTr="00932B8C">
        <w:tc>
          <w:tcPr>
            <w:tcW w:w="1848" w:type="dxa"/>
          </w:tcPr>
          <w:p w14:paraId="5D0820B8"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Tuross River at </w:t>
            </w:r>
            <w:proofErr w:type="spellStart"/>
            <w:r w:rsidRPr="00597B3F">
              <w:rPr>
                <w:i w:val="0"/>
                <w:color w:val="auto"/>
                <w:szCs w:val="22"/>
              </w:rPr>
              <w:t>Belowra</w:t>
            </w:r>
            <w:proofErr w:type="spellEnd"/>
          </w:p>
        </w:tc>
        <w:tc>
          <w:tcPr>
            <w:tcW w:w="1848" w:type="dxa"/>
          </w:tcPr>
          <w:p w14:paraId="1BDC25C9"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149.709</w:t>
            </w:r>
          </w:p>
        </w:tc>
        <w:tc>
          <w:tcPr>
            <w:tcW w:w="1848" w:type="dxa"/>
          </w:tcPr>
          <w:p w14:paraId="67A25BEB"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-36.201</w:t>
            </w:r>
          </w:p>
        </w:tc>
        <w:tc>
          <w:tcPr>
            <w:tcW w:w="1849" w:type="dxa"/>
          </w:tcPr>
          <w:p w14:paraId="5AAD46A6"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unpredictable </w:t>
            </w:r>
            <w:proofErr w:type="spellStart"/>
            <w:r w:rsidRPr="00597B3F">
              <w:rPr>
                <w:i w:val="0"/>
                <w:color w:val="auto"/>
                <w:szCs w:val="22"/>
              </w:rPr>
              <w:t>baseflow</w:t>
            </w:r>
            <w:proofErr w:type="spellEnd"/>
          </w:p>
        </w:tc>
      </w:tr>
      <w:tr w:rsidR="00597B3F" w:rsidRPr="00597B3F" w14:paraId="198A1CC2" w14:textId="77777777" w:rsidTr="00932B8C">
        <w:tc>
          <w:tcPr>
            <w:tcW w:w="1848" w:type="dxa"/>
          </w:tcPr>
          <w:p w14:paraId="69EEE72E" w14:textId="77777777" w:rsidR="003D0F26" w:rsidRPr="00597B3F" w:rsidRDefault="003D0F26" w:rsidP="003D0F26">
            <w:pPr>
              <w:pStyle w:val="Caption"/>
              <w:keepNext/>
              <w:spacing w:line="276" w:lineRule="auto"/>
              <w:rPr>
                <w:i w:val="0"/>
                <w:color w:val="auto"/>
                <w:szCs w:val="22"/>
              </w:rPr>
            </w:pPr>
            <w:r w:rsidRPr="00597B3F">
              <w:rPr>
                <w:i w:val="0"/>
                <w:color w:val="auto"/>
                <w:szCs w:val="22"/>
              </w:rPr>
              <w:t>Genoa River</w:t>
            </w:r>
          </w:p>
        </w:tc>
        <w:tc>
          <w:tcPr>
            <w:tcW w:w="1848" w:type="dxa"/>
          </w:tcPr>
          <w:p w14:paraId="0D27C4AD"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149.321</w:t>
            </w:r>
          </w:p>
        </w:tc>
        <w:tc>
          <w:tcPr>
            <w:tcW w:w="1848" w:type="dxa"/>
          </w:tcPr>
          <w:p w14:paraId="49B0E914" w14:textId="77777777" w:rsidR="003D0F26" w:rsidRPr="00597B3F" w:rsidRDefault="003D0F26" w:rsidP="003D0F26">
            <w:pPr>
              <w:pStyle w:val="Caption"/>
              <w:keepNext/>
              <w:spacing w:line="276" w:lineRule="auto"/>
              <w:rPr>
                <w:i w:val="0"/>
                <w:color w:val="auto"/>
                <w:szCs w:val="22"/>
              </w:rPr>
            </w:pPr>
            <w:r w:rsidRPr="00597B3F">
              <w:rPr>
                <w:i w:val="0"/>
                <w:color w:val="auto"/>
                <w:szCs w:val="22"/>
              </w:rPr>
              <w:t>-37.174</w:t>
            </w:r>
          </w:p>
        </w:tc>
        <w:tc>
          <w:tcPr>
            <w:tcW w:w="1849" w:type="dxa"/>
          </w:tcPr>
          <w:p w14:paraId="22EA8201"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unpredictable </w:t>
            </w:r>
            <w:proofErr w:type="spellStart"/>
            <w:r w:rsidRPr="00597B3F">
              <w:rPr>
                <w:i w:val="0"/>
                <w:color w:val="auto"/>
                <w:szCs w:val="22"/>
              </w:rPr>
              <w:t>baseflow</w:t>
            </w:r>
            <w:proofErr w:type="spellEnd"/>
          </w:p>
        </w:tc>
      </w:tr>
      <w:tr w:rsidR="00597B3F" w:rsidRPr="00597B3F" w14:paraId="236D50EB" w14:textId="77777777" w:rsidTr="00932B8C">
        <w:tc>
          <w:tcPr>
            <w:tcW w:w="1848" w:type="dxa"/>
          </w:tcPr>
          <w:p w14:paraId="627E0163" w14:textId="77777777" w:rsidR="003D0F26" w:rsidRPr="00597B3F" w:rsidRDefault="003D0F26" w:rsidP="003D0F26">
            <w:pPr>
              <w:pStyle w:val="Caption"/>
              <w:keepNext/>
              <w:spacing w:line="276" w:lineRule="auto"/>
              <w:rPr>
                <w:i w:val="0"/>
                <w:color w:val="auto"/>
                <w:szCs w:val="22"/>
              </w:rPr>
            </w:pPr>
            <w:proofErr w:type="spellStart"/>
            <w:r w:rsidRPr="00597B3F">
              <w:rPr>
                <w:i w:val="0"/>
                <w:color w:val="auto"/>
                <w:szCs w:val="22"/>
              </w:rPr>
              <w:t>Wallagaraugh</w:t>
            </w:r>
            <w:proofErr w:type="spellEnd"/>
            <w:r w:rsidRPr="00597B3F">
              <w:rPr>
                <w:i w:val="0"/>
                <w:color w:val="auto"/>
                <w:szCs w:val="22"/>
              </w:rPr>
              <w:t xml:space="preserve"> River</w:t>
            </w:r>
          </w:p>
        </w:tc>
        <w:tc>
          <w:tcPr>
            <w:tcW w:w="1848" w:type="dxa"/>
          </w:tcPr>
          <w:p w14:paraId="170814AD"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149.714</w:t>
            </w:r>
          </w:p>
        </w:tc>
        <w:tc>
          <w:tcPr>
            <w:tcW w:w="1848" w:type="dxa"/>
          </w:tcPr>
          <w:p w14:paraId="2C0DDEEE" w14:textId="77777777" w:rsidR="003D0F26" w:rsidRPr="00597B3F" w:rsidRDefault="003D0F26" w:rsidP="003D0F26">
            <w:pPr>
              <w:pStyle w:val="Caption"/>
              <w:keepNext/>
              <w:spacing w:line="276" w:lineRule="auto"/>
              <w:rPr>
                <w:i w:val="0"/>
                <w:color w:val="auto"/>
                <w:szCs w:val="22"/>
              </w:rPr>
            </w:pPr>
            <w:r w:rsidRPr="00597B3F">
              <w:rPr>
                <w:i w:val="0"/>
                <w:color w:val="auto"/>
                <w:szCs w:val="22"/>
              </w:rPr>
              <w:t>-37.371</w:t>
            </w:r>
          </w:p>
        </w:tc>
        <w:tc>
          <w:tcPr>
            <w:tcW w:w="1849" w:type="dxa"/>
          </w:tcPr>
          <w:p w14:paraId="2B2E1F23"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unpredictable </w:t>
            </w:r>
            <w:proofErr w:type="spellStart"/>
            <w:r w:rsidRPr="00597B3F">
              <w:rPr>
                <w:i w:val="0"/>
                <w:color w:val="auto"/>
                <w:szCs w:val="22"/>
              </w:rPr>
              <w:t>baseflow</w:t>
            </w:r>
            <w:proofErr w:type="spellEnd"/>
          </w:p>
        </w:tc>
      </w:tr>
      <w:tr w:rsidR="00597B3F" w:rsidRPr="00597B3F" w14:paraId="18A0E2C1" w14:textId="77777777" w:rsidTr="00932B8C">
        <w:tc>
          <w:tcPr>
            <w:tcW w:w="1848" w:type="dxa"/>
          </w:tcPr>
          <w:p w14:paraId="33C5FAA0" w14:textId="77777777" w:rsidR="003D0F26" w:rsidRPr="00597B3F" w:rsidRDefault="003D0F26" w:rsidP="003D0F26">
            <w:pPr>
              <w:pStyle w:val="Caption"/>
              <w:keepNext/>
              <w:spacing w:line="276" w:lineRule="auto"/>
              <w:rPr>
                <w:i w:val="0"/>
                <w:color w:val="auto"/>
                <w:szCs w:val="22"/>
              </w:rPr>
            </w:pPr>
            <w:r w:rsidRPr="00597B3F">
              <w:rPr>
                <w:i w:val="0"/>
                <w:color w:val="auto"/>
                <w:szCs w:val="22"/>
              </w:rPr>
              <w:t>Mann River</w:t>
            </w:r>
          </w:p>
        </w:tc>
        <w:tc>
          <w:tcPr>
            <w:tcW w:w="1848" w:type="dxa"/>
          </w:tcPr>
          <w:p w14:paraId="4D2C88E4" w14:textId="77777777" w:rsidR="003D0F26" w:rsidRPr="00597B3F" w:rsidRDefault="003D0F26" w:rsidP="003D0F26">
            <w:pPr>
              <w:pStyle w:val="Caption"/>
              <w:keepNext/>
              <w:spacing w:line="276" w:lineRule="auto"/>
              <w:rPr>
                <w:i w:val="0"/>
                <w:color w:val="auto"/>
                <w:szCs w:val="22"/>
              </w:rPr>
            </w:pPr>
            <w:r w:rsidRPr="00597B3F">
              <w:rPr>
                <w:i w:val="0"/>
                <w:color w:val="auto"/>
                <w:szCs w:val="22"/>
              </w:rPr>
              <w:t>152.105</w:t>
            </w:r>
          </w:p>
        </w:tc>
        <w:tc>
          <w:tcPr>
            <w:tcW w:w="1848" w:type="dxa"/>
          </w:tcPr>
          <w:p w14:paraId="408C7895" w14:textId="77777777" w:rsidR="003D0F26" w:rsidRPr="00597B3F" w:rsidRDefault="003D0F26" w:rsidP="003D0F26">
            <w:pPr>
              <w:pStyle w:val="Caption"/>
              <w:keepNext/>
              <w:spacing w:line="276" w:lineRule="auto"/>
              <w:rPr>
                <w:i w:val="0"/>
                <w:color w:val="auto"/>
                <w:szCs w:val="22"/>
              </w:rPr>
            </w:pPr>
            <w:r w:rsidRPr="00597B3F">
              <w:rPr>
                <w:i w:val="0"/>
                <w:color w:val="auto"/>
                <w:szCs w:val="22"/>
              </w:rPr>
              <w:t>-29.695</w:t>
            </w:r>
          </w:p>
        </w:tc>
        <w:tc>
          <w:tcPr>
            <w:tcW w:w="1849" w:type="dxa"/>
          </w:tcPr>
          <w:p w14:paraId="67FAB93A"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unpredictable </w:t>
            </w:r>
            <w:proofErr w:type="spellStart"/>
            <w:r w:rsidRPr="00597B3F">
              <w:rPr>
                <w:i w:val="0"/>
                <w:color w:val="auto"/>
                <w:szCs w:val="22"/>
              </w:rPr>
              <w:t>baseflow</w:t>
            </w:r>
            <w:proofErr w:type="spellEnd"/>
          </w:p>
        </w:tc>
      </w:tr>
      <w:tr w:rsidR="00597B3F" w:rsidRPr="00597B3F" w14:paraId="2EC71724" w14:textId="77777777" w:rsidTr="00932B8C">
        <w:tc>
          <w:tcPr>
            <w:tcW w:w="1848" w:type="dxa"/>
          </w:tcPr>
          <w:p w14:paraId="6F27C32D" w14:textId="77777777" w:rsidR="003D0F26" w:rsidRPr="00597B3F" w:rsidRDefault="003D0F26" w:rsidP="003D0F26">
            <w:pPr>
              <w:pStyle w:val="Caption"/>
              <w:keepNext/>
              <w:spacing w:line="276" w:lineRule="auto"/>
              <w:rPr>
                <w:i w:val="0"/>
                <w:color w:val="auto"/>
                <w:szCs w:val="22"/>
              </w:rPr>
            </w:pPr>
            <w:r w:rsidRPr="00597B3F">
              <w:rPr>
                <w:i w:val="0"/>
                <w:color w:val="auto"/>
                <w:szCs w:val="22"/>
              </w:rPr>
              <w:t>Cataract Creek</w:t>
            </w:r>
          </w:p>
        </w:tc>
        <w:tc>
          <w:tcPr>
            <w:tcW w:w="1848" w:type="dxa"/>
          </w:tcPr>
          <w:p w14:paraId="637796F9" w14:textId="77777777" w:rsidR="003D0F26" w:rsidRPr="00597B3F" w:rsidRDefault="003D0F26" w:rsidP="003D0F26">
            <w:pPr>
              <w:pStyle w:val="Caption"/>
              <w:keepNext/>
              <w:spacing w:line="276" w:lineRule="auto"/>
              <w:rPr>
                <w:i w:val="0"/>
                <w:color w:val="auto"/>
                <w:szCs w:val="22"/>
              </w:rPr>
            </w:pPr>
            <w:r w:rsidRPr="00597B3F">
              <w:rPr>
                <w:i w:val="0"/>
                <w:color w:val="auto"/>
                <w:szCs w:val="22"/>
              </w:rPr>
              <w:t>152.217</w:t>
            </w:r>
          </w:p>
        </w:tc>
        <w:tc>
          <w:tcPr>
            <w:tcW w:w="1848" w:type="dxa"/>
          </w:tcPr>
          <w:p w14:paraId="7DE7B195" w14:textId="77777777" w:rsidR="003D0F26" w:rsidRPr="00597B3F" w:rsidRDefault="003D0F26" w:rsidP="003D0F26">
            <w:pPr>
              <w:pStyle w:val="Caption"/>
              <w:keepNext/>
              <w:spacing w:line="276" w:lineRule="auto"/>
              <w:rPr>
                <w:i w:val="0"/>
                <w:color w:val="auto"/>
                <w:szCs w:val="22"/>
              </w:rPr>
            </w:pPr>
            <w:r w:rsidRPr="00597B3F">
              <w:rPr>
                <w:i w:val="0"/>
                <w:color w:val="auto"/>
                <w:szCs w:val="22"/>
              </w:rPr>
              <w:t>-28.934</w:t>
            </w:r>
          </w:p>
        </w:tc>
        <w:tc>
          <w:tcPr>
            <w:tcW w:w="1849" w:type="dxa"/>
          </w:tcPr>
          <w:p w14:paraId="3C94AD3F"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unpredictable </w:t>
            </w:r>
            <w:proofErr w:type="spellStart"/>
            <w:r w:rsidRPr="00597B3F">
              <w:rPr>
                <w:i w:val="0"/>
                <w:color w:val="auto"/>
                <w:szCs w:val="22"/>
              </w:rPr>
              <w:t>baseflow</w:t>
            </w:r>
            <w:proofErr w:type="spellEnd"/>
          </w:p>
        </w:tc>
      </w:tr>
      <w:tr w:rsidR="00597B3F" w:rsidRPr="00597B3F" w14:paraId="6944C361" w14:textId="77777777" w:rsidTr="00932B8C">
        <w:tc>
          <w:tcPr>
            <w:tcW w:w="1848" w:type="dxa"/>
          </w:tcPr>
          <w:p w14:paraId="26CF7DF9" w14:textId="77777777" w:rsidR="003D0F26" w:rsidRPr="00597B3F" w:rsidRDefault="003D0F26" w:rsidP="003D0F26">
            <w:pPr>
              <w:pStyle w:val="Caption"/>
              <w:keepNext/>
              <w:spacing w:line="276" w:lineRule="auto"/>
              <w:rPr>
                <w:i w:val="0"/>
                <w:color w:val="auto"/>
                <w:szCs w:val="22"/>
              </w:rPr>
            </w:pPr>
            <w:r w:rsidRPr="00597B3F">
              <w:rPr>
                <w:i w:val="0"/>
                <w:color w:val="auto"/>
                <w:szCs w:val="22"/>
              </w:rPr>
              <w:t>Jilliby Creek</w:t>
            </w:r>
          </w:p>
        </w:tc>
        <w:tc>
          <w:tcPr>
            <w:tcW w:w="1848" w:type="dxa"/>
          </w:tcPr>
          <w:p w14:paraId="01206E49" w14:textId="77777777" w:rsidR="003D0F26" w:rsidRPr="00597B3F" w:rsidRDefault="003D0F26" w:rsidP="003D0F26">
            <w:pPr>
              <w:pStyle w:val="Caption"/>
              <w:keepNext/>
              <w:spacing w:line="276" w:lineRule="auto"/>
              <w:rPr>
                <w:i w:val="0"/>
                <w:color w:val="auto"/>
                <w:szCs w:val="22"/>
              </w:rPr>
            </w:pPr>
            <w:r w:rsidRPr="00597B3F">
              <w:rPr>
                <w:i w:val="0"/>
                <w:color w:val="auto"/>
                <w:szCs w:val="22"/>
              </w:rPr>
              <w:t>151.389</w:t>
            </w:r>
          </w:p>
        </w:tc>
        <w:tc>
          <w:tcPr>
            <w:tcW w:w="1848" w:type="dxa"/>
          </w:tcPr>
          <w:p w14:paraId="54339C2B" w14:textId="77777777" w:rsidR="003D0F26" w:rsidRPr="00597B3F" w:rsidRDefault="003D0F26" w:rsidP="003D0F26">
            <w:pPr>
              <w:pStyle w:val="Caption"/>
              <w:keepNext/>
              <w:spacing w:line="276" w:lineRule="auto"/>
              <w:rPr>
                <w:i w:val="0"/>
                <w:color w:val="auto"/>
                <w:szCs w:val="22"/>
              </w:rPr>
            </w:pPr>
            <w:r w:rsidRPr="00597B3F">
              <w:rPr>
                <w:i w:val="0"/>
                <w:color w:val="auto"/>
                <w:szCs w:val="22"/>
              </w:rPr>
              <w:t>-33.246</w:t>
            </w:r>
          </w:p>
        </w:tc>
        <w:tc>
          <w:tcPr>
            <w:tcW w:w="1849" w:type="dxa"/>
          </w:tcPr>
          <w:p w14:paraId="5AFAF98F" w14:textId="77777777" w:rsidR="003D0F26" w:rsidRPr="00597B3F" w:rsidRDefault="003D0F26" w:rsidP="003D0F26">
            <w:pPr>
              <w:pStyle w:val="Caption"/>
              <w:keepNext/>
              <w:spacing w:line="276" w:lineRule="auto"/>
              <w:rPr>
                <w:i w:val="0"/>
                <w:color w:val="auto"/>
                <w:szCs w:val="22"/>
              </w:rPr>
            </w:pPr>
            <w:r w:rsidRPr="00597B3F">
              <w:rPr>
                <w:i w:val="0"/>
                <w:color w:val="auto"/>
                <w:szCs w:val="22"/>
              </w:rPr>
              <w:t>unpredictable intermittent</w:t>
            </w:r>
          </w:p>
        </w:tc>
      </w:tr>
      <w:tr w:rsidR="00597B3F" w:rsidRPr="00597B3F" w14:paraId="4B1613C7" w14:textId="77777777" w:rsidTr="00932B8C">
        <w:tc>
          <w:tcPr>
            <w:tcW w:w="1848" w:type="dxa"/>
          </w:tcPr>
          <w:p w14:paraId="0E0857AD" w14:textId="77777777" w:rsidR="003D0F26" w:rsidRPr="00597B3F" w:rsidRDefault="003D0F26" w:rsidP="003D0F26">
            <w:pPr>
              <w:pStyle w:val="Caption"/>
              <w:keepNext/>
              <w:spacing w:line="276" w:lineRule="auto"/>
              <w:rPr>
                <w:i w:val="0"/>
                <w:color w:val="auto"/>
                <w:szCs w:val="22"/>
              </w:rPr>
            </w:pPr>
            <w:proofErr w:type="spellStart"/>
            <w:r w:rsidRPr="00597B3F">
              <w:rPr>
                <w:i w:val="0"/>
                <w:color w:val="auto"/>
                <w:szCs w:val="22"/>
              </w:rPr>
              <w:t>Sportsmans</w:t>
            </w:r>
            <w:proofErr w:type="spellEnd"/>
            <w:r w:rsidRPr="00597B3F">
              <w:rPr>
                <w:i w:val="0"/>
                <w:color w:val="auto"/>
                <w:szCs w:val="22"/>
              </w:rPr>
              <w:t xml:space="preserve"> Creek</w:t>
            </w:r>
          </w:p>
        </w:tc>
        <w:tc>
          <w:tcPr>
            <w:tcW w:w="1848" w:type="dxa"/>
          </w:tcPr>
          <w:p w14:paraId="71184FDA"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142.981</w:t>
            </w:r>
          </w:p>
        </w:tc>
        <w:tc>
          <w:tcPr>
            <w:tcW w:w="1848" w:type="dxa"/>
          </w:tcPr>
          <w:p w14:paraId="4CBC4D63" w14:textId="77777777" w:rsidR="003D0F26" w:rsidRPr="00597B3F" w:rsidRDefault="003D0F26" w:rsidP="003D0F26">
            <w:pPr>
              <w:pStyle w:val="Caption"/>
              <w:keepNext/>
              <w:spacing w:line="276" w:lineRule="auto"/>
              <w:rPr>
                <w:i w:val="0"/>
                <w:color w:val="auto"/>
                <w:szCs w:val="22"/>
              </w:rPr>
            </w:pPr>
            <w:r w:rsidRPr="00597B3F">
              <w:rPr>
                <w:i w:val="0"/>
                <w:color w:val="auto"/>
                <w:szCs w:val="22"/>
              </w:rPr>
              <w:t>-29.467</w:t>
            </w:r>
          </w:p>
        </w:tc>
        <w:tc>
          <w:tcPr>
            <w:tcW w:w="1849" w:type="dxa"/>
          </w:tcPr>
          <w:p w14:paraId="6EF1BE15" w14:textId="77777777" w:rsidR="003D0F26" w:rsidRPr="00597B3F" w:rsidRDefault="003D0F26" w:rsidP="003D0F26">
            <w:pPr>
              <w:pStyle w:val="Caption"/>
              <w:keepNext/>
              <w:spacing w:line="276" w:lineRule="auto"/>
              <w:rPr>
                <w:i w:val="0"/>
                <w:color w:val="auto"/>
                <w:szCs w:val="22"/>
              </w:rPr>
            </w:pPr>
            <w:r w:rsidRPr="00597B3F">
              <w:rPr>
                <w:i w:val="0"/>
                <w:color w:val="auto"/>
                <w:szCs w:val="22"/>
              </w:rPr>
              <w:t>unpredictable intermittent</w:t>
            </w:r>
          </w:p>
        </w:tc>
      </w:tr>
      <w:tr w:rsidR="00597B3F" w:rsidRPr="00597B3F" w14:paraId="4DE0BEF7" w14:textId="77777777" w:rsidTr="00932B8C">
        <w:tc>
          <w:tcPr>
            <w:tcW w:w="1848" w:type="dxa"/>
          </w:tcPr>
          <w:p w14:paraId="2901A5B7" w14:textId="77777777" w:rsidR="003D0F26" w:rsidRPr="00597B3F" w:rsidRDefault="003D0F26" w:rsidP="003D0F26">
            <w:pPr>
              <w:pStyle w:val="Caption"/>
              <w:keepNext/>
              <w:spacing w:line="276" w:lineRule="auto"/>
              <w:rPr>
                <w:i w:val="0"/>
                <w:color w:val="auto"/>
                <w:szCs w:val="22"/>
              </w:rPr>
            </w:pPr>
            <w:r w:rsidRPr="00597B3F">
              <w:rPr>
                <w:i w:val="0"/>
                <w:color w:val="auto"/>
                <w:szCs w:val="22"/>
              </w:rPr>
              <w:t>Mammy Johnsons River</w:t>
            </w:r>
          </w:p>
        </w:tc>
        <w:tc>
          <w:tcPr>
            <w:tcW w:w="1848" w:type="dxa"/>
          </w:tcPr>
          <w:p w14:paraId="3F3F30F3" w14:textId="77777777" w:rsidR="003D0F26" w:rsidRPr="00597B3F" w:rsidRDefault="003D0F26" w:rsidP="003D0F26">
            <w:pPr>
              <w:pStyle w:val="Caption"/>
              <w:keepNext/>
              <w:spacing w:line="276" w:lineRule="auto"/>
              <w:rPr>
                <w:i w:val="0"/>
                <w:color w:val="auto"/>
                <w:szCs w:val="22"/>
              </w:rPr>
            </w:pPr>
            <w:r w:rsidRPr="00597B3F">
              <w:rPr>
                <w:i w:val="0"/>
                <w:color w:val="auto"/>
                <w:szCs w:val="22"/>
              </w:rPr>
              <w:t>151.979</w:t>
            </w:r>
          </w:p>
        </w:tc>
        <w:tc>
          <w:tcPr>
            <w:tcW w:w="1848" w:type="dxa"/>
          </w:tcPr>
          <w:p w14:paraId="7645C173" w14:textId="77777777" w:rsidR="003D0F26" w:rsidRPr="00597B3F" w:rsidRDefault="003D0F26" w:rsidP="003D0F26">
            <w:pPr>
              <w:pStyle w:val="Caption"/>
              <w:keepNext/>
              <w:spacing w:line="276" w:lineRule="auto"/>
              <w:rPr>
                <w:i w:val="0"/>
                <w:color w:val="auto"/>
                <w:szCs w:val="22"/>
              </w:rPr>
            </w:pPr>
            <w:r w:rsidRPr="00597B3F">
              <w:rPr>
                <w:i w:val="0"/>
                <w:color w:val="auto"/>
                <w:szCs w:val="22"/>
              </w:rPr>
              <w:t>-32.244</w:t>
            </w:r>
          </w:p>
        </w:tc>
        <w:tc>
          <w:tcPr>
            <w:tcW w:w="1849" w:type="dxa"/>
          </w:tcPr>
          <w:p w14:paraId="6D1B5D8C" w14:textId="77777777" w:rsidR="003D0F26" w:rsidRPr="00597B3F" w:rsidRDefault="003D0F26" w:rsidP="003D0F26">
            <w:pPr>
              <w:pStyle w:val="Caption"/>
              <w:keepNext/>
              <w:spacing w:line="276" w:lineRule="auto"/>
              <w:rPr>
                <w:i w:val="0"/>
                <w:color w:val="auto"/>
                <w:szCs w:val="22"/>
              </w:rPr>
            </w:pPr>
            <w:r w:rsidRPr="00597B3F">
              <w:rPr>
                <w:i w:val="0"/>
                <w:color w:val="auto"/>
                <w:szCs w:val="22"/>
              </w:rPr>
              <w:t>unpredictable intermittent</w:t>
            </w:r>
          </w:p>
        </w:tc>
      </w:tr>
      <w:tr w:rsidR="00597B3F" w:rsidRPr="00597B3F" w14:paraId="24C4498D" w14:textId="77777777" w:rsidTr="00932B8C">
        <w:tc>
          <w:tcPr>
            <w:tcW w:w="1848" w:type="dxa"/>
          </w:tcPr>
          <w:p w14:paraId="420AF45B" w14:textId="77777777" w:rsidR="003D0F26" w:rsidRPr="00597B3F" w:rsidRDefault="003D0F26" w:rsidP="003D0F26">
            <w:pPr>
              <w:pStyle w:val="Caption"/>
              <w:keepNext/>
              <w:spacing w:line="276" w:lineRule="auto"/>
              <w:rPr>
                <w:i w:val="0"/>
                <w:color w:val="auto"/>
                <w:szCs w:val="22"/>
              </w:rPr>
            </w:pPr>
            <w:proofErr w:type="spellStart"/>
            <w:r w:rsidRPr="00597B3F">
              <w:rPr>
                <w:i w:val="0"/>
                <w:color w:val="auto"/>
                <w:szCs w:val="22"/>
              </w:rPr>
              <w:t>Wadbilliga</w:t>
            </w:r>
            <w:proofErr w:type="spellEnd"/>
            <w:r w:rsidRPr="00597B3F">
              <w:rPr>
                <w:i w:val="0"/>
                <w:color w:val="auto"/>
                <w:szCs w:val="22"/>
              </w:rPr>
              <w:t xml:space="preserve"> River</w:t>
            </w:r>
          </w:p>
        </w:tc>
        <w:tc>
          <w:tcPr>
            <w:tcW w:w="1848" w:type="dxa"/>
          </w:tcPr>
          <w:p w14:paraId="394D0CBE"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149.694</w:t>
            </w:r>
          </w:p>
        </w:tc>
        <w:tc>
          <w:tcPr>
            <w:tcW w:w="1848" w:type="dxa"/>
          </w:tcPr>
          <w:p w14:paraId="5BEEAC04"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-36.259</w:t>
            </w:r>
          </w:p>
        </w:tc>
        <w:tc>
          <w:tcPr>
            <w:tcW w:w="1849" w:type="dxa"/>
          </w:tcPr>
          <w:p w14:paraId="6E49EADE" w14:textId="77777777" w:rsidR="003D0F26" w:rsidRPr="00597B3F" w:rsidRDefault="003D0F26" w:rsidP="003D0F26">
            <w:pPr>
              <w:pStyle w:val="Caption"/>
              <w:keepNext/>
              <w:spacing w:line="276" w:lineRule="auto"/>
              <w:rPr>
                <w:i w:val="0"/>
                <w:color w:val="auto"/>
                <w:szCs w:val="22"/>
              </w:rPr>
            </w:pPr>
            <w:r w:rsidRPr="00597B3F">
              <w:rPr>
                <w:i w:val="0"/>
                <w:color w:val="auto"/>
                <w:szCs w:val="22"/>
              </w:rPr>
              <w:t>unpredictable intermittent</w:t>
            </w:r>
          </w:p>
        </w:tc>
      </w:tr>
      <w:tr w:rsidR="003D0F26" w:rsidRPr="00597B3F" w14:paraId="4247E4D3" w14:textId="77777777" w:rsidTr="00932B8C">
        <w:tc>
          <w:tcPr>
            <w:tcW w:w="1848" w:type="dxa"/>
          </w:tcPr>
          <w:p w14:paraId="1946664A" w14:textId="77777777" w:rsidR="003D0F26" w:rsidRPr="00597B3F" w:rsidRDefault="003D0F26" w:rsidP="003D0F26">
            <w:pPr>
              <w:pStyle w:val="Caption"/>
              <w:keepNext/>
              <w:spacing w:line="276" w:lineRule="auto"/>
              <w:rPr>
                <w:i w:val="0"/>
                <w:color w:val="auto"/>
                <w:szCs w:val="22"/>
              </w:rPr>
            </w:pPr>
            <w:r w:rsidRPr="00597B3F">
              <w:rPr>
                <w:i w:val="0"/>
                <w:color w:val="auto"/>
                <w:szCs w:val="22"/>
              </w:rPr>
              <w:t xml:space="preserve">Tuross River downstream of </w:t>
            </w:r>
            <w:proofErr w:type="spellStart"/>
            <w:r w:rsidRPr="00597B3F">
              <w:rPr>
                <w:i w:val="0"/>
                <w:color w:val="auto"/>
                <w:szCs w:val="22"/>
              </w:rPr>
              <w:t>Wadbilliga</w:t>
            </w:r>
            <w:proofErr w:type="spellEnd"/>
            <w:r w:rsidRPr="00597B3F">
              <w:rPr>
                <w:i w:val="0"/>
                <w:color w:val="auto"/>
                <w:szCs w:val="22"/>
              </w:rPr>
              <w:t xml:space="preserve"> junction</w:t>
            </w:r>
          </w:p>
        </w:tc>
        <w:tc>
          <w:tcPr>
            <w:tcW w:w="1848" w:type="dxa"/>
          </w:tcPr>
          <w:p w14:paraId="3CCEE3F9" w14:textId="77777777" w:rsidR="003D0F26" w:rsidRPr="00597B3F" w:rsidRDefault="003D0F26" w:rsidP="003D0F26">
            <w:pPr>
              <w:pStyle w:val="Caption"/>
              <w:keepNext/>
              <w:spacing w:line="276" w:lineRule="auto"/>
              <w:rPr>
                <w:i w:val="0"/>
                <w:color w:val="auto"/>
                <w:szCs w:val="22"/>
              </w:rPr>
            </w:pPr>
            <w:r w:rsidRPr="00597B3F">
              <w:rPr>
                <w:i w:val="0"/>
                <w:color w:val="auto"/>
                <w:szCs w:val="22"/>
              </w:rPr>
              <w:t>149.761</w:t>
            </w:r>
          </w:p>
        </w:tc>
        <w:tc>
          <w:tcPr>
            <w:tcW w:w="1848" w:type="dxa"/>
          </w:tcPr>
          <w:p w14:paraId="680C9F0C" w14:textId="77777777" w:rsidR="003D0F26" w:rsidRPr="00597B3F" w:rsidRDefault="003D0F26" w:rsidP="003D0F26">
            <w:pPr>
              <w:pStyle w:val="Caption"/>
              <w:keepNext/>
              <w:spacing w:line="276" w:lineRule="auto"/>
              <w:rPr>
                <w:i w:val="0"/>
                <w:color w:val="auto"/>
                <w:szCs w:val="22"/>
              </w:rPr>
            </w:pPr>
            <w:r w:rsidRPr="00597B3F">
              <w:rPr>
                <w:i w:val="0"/>
                <w:color w:val="auto"/>
                <w:szCs w:val="22"/>
              </w:rPr>
              <w:t>-36.197</w:t>
            </w:r>
          </w:p>
        </w:tc>
        <w:tc>
          <w:tcPr>
            <w:tcW w:w="1849" w:type="dxa"/>
          </w:tcPr>
          <w:p w14:paraId="473E7629" w14:textId="77777777" w:rsidR="003D0F26" w:rsidRPr="00597B3F" w:rsidRDefault="003D0F26" w:rsidP="003D0F26">
            <w:pPr>
              <w:pStyle w:val="Caption"/>
              <w:keepNext/>
              <w:spacing w:line="276" w:lineRule="auto"/>
              <w:rPr>
                <w:i w:val="0"/>
                <w:color w:val="auto"/>
                <w:szCs w:val="22"/>
              </w:rPr>
            </w:pPr>
            <w:r w:rsidRPr="00597B3F">
              <w:rPr>
                <w:i w:val="0"/>
                <w:color w:val="auto"/>
                <w:szCs w:val="22"/>
              </w:rPr>
              <w:t>unpredictable intermittent</w:t>
            </w:r>
          </w:p>
        </w:tc>
      </w:tr>
    </w:tbl>
    <w:p w14:paraId="0D19DC3D" w14:textId="77777777" w:rsidR="003D0F26" w:rsidRPr="00597B3F" w:rsidRDefault="003D0F26" w:rsidP="005E3173">
      <w:pPr>
        <w:pStyle w:val="Caption"/>
        <w:keepNext/>
        <w:rPr>
          <w:color w:val="auto"/>
          <w:sz w:val="22"/>
        </w:rPr>
      </w:pPr>
    </w:p>
    <w:p w14:paraId="7033465C" w14:textId="163961DB" w:rsidR="00C677CB" w:rsidRPr="00C677CB" w:rsidRDefault="00C677CB" w:rsidP="00C677CB">
      <w:pPr>
        <w:pStyle w:val="NormalWeb"/>
        <w:ind w:left="480" w:hanging="480"/>
        <w:rPr>
          <w:rFonts w:ascii="Calibri" w:hAnsi="Calibri"/>
          <w:noProof/>
          <w:sz w:val="20"/>
        </w:rPr>
      </w:pPr>
      <w:r w:rsidRPr="00F66351">
        <w:rPr>
          <w:rFonts w:ascii="Calibri" w:hAnsi="Calibri"/>
          <w:noProof/>
          <w:sz w:val="20"/>
        </w:rPr>
        <w:t xml:space="preserve">Kennard, M.J., Pusey, B.J., Olden, J.D., Mackay, S.J., Stein, J.L. &amp; Marsh, N. (2010) Classification of natural flow regimes in Australia to support environmental flow management. </w:t>
      </w:r>
      <w:r w:rsidRPr="00F66351">
        <w:rPr>
          <w:rFonts w:ascii="Calibri" w:hAnsi="Calibri"/>
          <w:i/>
          <w:iCs/>
          <w:noProof/>
          <w:sz w:val="20"/>
        </w:rPr>
        <w:t>Freshwater Biology</w:t>
      </w:r>
      <w:r w:rsidRPr="00F66351">
        <w:rPr>
          <w:rFonts w:ascii="Calibri" w:hAnsi="Calibri"/>
          <w:noProof/>
          <w:sz w:val="20"/>
        </w:rPr>
        <w:t xml:space="preserve">, </w:t>
      </w:r>
      <w:r w:rsidRPr="00F66351">
        <w:rPr>
          <w:rFonts w:ascii="Calibri" w:hAnsi="Calibri"/>
          <w:b/>
          <w:bCs/>
          <w:noProof/>
          <w:sz w:val="20"/>
        </w:rPr>
        <w:t>55</w:t>
      </w:r>
      <w:r w:rsidRPr="00F66351">
        <w:rPr>
          <w:rFonts w:ascii="Calibri" w:hAnsi="Calibri"/>
          <w:noProof/>
          <w:sz w:val="20"/>
        </w:rPr>
        <w:t>, 171–193.</w:t>
      </w:r>
    </w:p>
    <w:p w14:paraId="0D78A7D5" w14:textId="3E161D0D" w:rsidR="005E3173" w:rsidRPr="00597B3F" w:rsidRDefault="005E3173" w:rsidP="003D0F26">
      <w:pPr>
        <w:pStyle w:val="Caption"/>
        <w:keepNext/>
        <w:spacing w:line="276" w:lineRule="auto"/>
        <w:rPr>
          <w:color w:val="auto"/>
          <w:sz w:val="22"/>
        </w:rPr>
      </w:pPr>
      <w:r w:rsidRPr="00597B3F">
        <w:rPr>
          <w:b/>
          <w:color w:val="auto"/>
          <w:sz w:val="22"/>
        </w:rPr>
        <w:lastRenderedPageBreak/>
        <w:t xml:space="preserve">Table </w:t>
      </w:r>
      <w:r w:rsidR="003D0F26" w:rsidRPr="00597B3F">
        <w:rPr>
          <w:b/>
          <w:color w:val="auto"/>
          <w:sz w:val="22"/>
        </w:rPr>
        <w:t>2</w:t>
      </w:r>
      <w:r w:rsidRPr="00597B3F">
        <w:rPr>
          <w:b/>
          <w:color w:val="auto"/>
          <w:sz w:val="22"/>
        </w:rPr>
        <w:t>.</w:t>
      </w:r>
      <w:r w:rsidRPr="00597B3F">
        <w:rPr>
          <w:color w:val="auto"/>
          <w:sz w:val="22"/>
        </w:rPr>
        <w:t xml:space="preserve"> Summary for Principal Components Analysis across all 24 hydrological metrics described in this study. PC1 here corresponds to the first principal component of variation across metrics which had significant relationships with CWM wood density (Pearson correlation = 0.990) (see Fig. 4 in the main text for reference). </w:t>
      </w:r>
    </w:p>
    <w:tbl>
      <w:tblPr>
        <w:tblStyle w:val="TableGrid"/>
        <w:tblW w:w="5556" w:type="dxa"/>
        <w:tblLook w:val="04A0" w:firstRow="1" w:lastRow="0" w:firstColumn="1" w:lastColumn="0" w:noHBand="0" w:noVBand="1"/>
      </w:tblPr>
      <w:tblGrid>
        <w:gridCol w:w="1971"/>
        <w:gridCol w:w="717"/>
        <w:gridCol w:w="717"/>
        <w:gridCol w:w="717"/>
        <w:gridCol w:w="717"/>
        <w:gridCol w:w="717"/>
      </w:tblGrid>
      <w:tr w:rsidR="00597B3F" w:rsidRPr="00597B3F" w14:paraId="45456A19" w14:textId="77777777" w:rsidTr="005E3173">
        <w:tc>
          <w:tcPr>
            <w:tcW w:w="1971" w:type="dxa"/>
          </w:tcPr>
          <w:p w14:paraId="1A9F97B9" w14:textId="77777777" w:rsidR="005E3173" w:rsidRPr="00597B3F" w:rsidRDefault="005E3173" w:rsidP="005E3173">
            <w:pPr>
              <w:jc w:val="center"/>
              <w:rPr>
                <w:sz w:val="18"/>
              </w:rPr>
            </w:pPr>
          </w:p>
        </w:tc>
        <w:tc>
          <w:tcPr>
            <w:tcW w:w="717" w:type="dxa"/>
          </w:tcPr>
          <w:p w14:paraId="778C5B29" w14:textId="77777777" w:rsidR="005E3173" w:rsidRPr="00597B3F" w:rsidRDefault="005E3173" w:rsidP="005E3173">
            <w:pPr>
              <w:jc w:val="center"/>
              <w:rPr>
                <w:sz w:val="18"/>
              </w:rPr>
            </w:pPr>
            <w:r w:rsidRPr="00597B3F">
              <w:rPr>
                <w:sz w:val="18"/>
              </w:rPr>
              <w:t>PC1</w:t>
            </w:r>
          </w:p>
        </w:tc>
        <w:tc>
          <w:tcPr>
            <w:tcW w:w="717" w:type="dxa"/>
          </w:tcPr>
          <w:p w14:paraId="5E92349F" w14:textId="77777777" w:rsidR="005E3173" w:rsidRPr="00597B3F" w:rsidRDefault="005E3173" w:rsidP="005E3173">
            <w:pPr>
              <w:jc w:val="center"/>
              <w:rPr>
                <w:sz w:val="18"/>
              </w:rPr>
            </w:pPr>
            <w:r w:rsidRPr="00597B3F">
              <w:rPr>
                <w:sz w:val="18"/>
              </w:rPr>
              <w:t>PC2</w:t>
            </w:r>
          </w:p>
        </w:tc>
        <w:tc>
          <w:tcPr>
            <w:tcW w:w="717" w:type="dxa"/>
          </w:tcPr>
          <w:p w14:paraId="29F99400" w14:textId="77777777" w:rsidR="005E3173" w:rsidRPr="00597B3F" w:rsidRDefault="005E3173" w:rsidP="005E3173">
            <w:pPr>
              <w:jc w:val="center"/>
              <w:rPr>
                <w:sz w:val="18"/>
              </w:rPr>
            </w:pPr>
            <w:r w:rsidRPr="00597B3F">
              <w:rPr>
                <w:sz w:val="18"/>
              </w:rPr>
              <w:t>PC3</w:t>
            </w:r>
          </w:p>
        </w:tc>
        <w:tc>
          <w:tcPr>
            <w:tcW w:w="717" w:type="dxa"/>
          </w:tcPr>
          <w:p w14:paraId="66AF8E7A" w14:textId="77777777" w:rsidR="005E3173" w:rsidRPr="00597B3F" w:rsidRDefault="005E3173" w:rsidP="005E3173">
            <w:pPr>
              <w:jc w:val="center"/>
              <w:rPr>
                <w:sz w:val="18"/>
              </w:rPr>
            </w:pPr>
            <w:r w:rsidRPr="00597B3F">
              <w:rPr>
                <w:sz w:val="18"/>
              </w:rPr>
              <w:t>PC4</w:t>
            </w:r>
          </w:p>
        </w:tc>
        <w:tc>
          <w:tcPr>
            <w:tcW w:w="717" w:type="dxa"/>
          </w:tcPr>
          <w:p w14:paraId="77F9CD49" w14:textId="77777777" w:rsidR="005E3173" w:rsidRPr="00597B3F" w:rsidRDefault="005E3173" w:rsidP="005E3173">
            <w:pPr>
              <w:jc w:val="center"/>
              <w:rPr>
                <w:sz w:val="18"/>
              </w:rPr>
            </w:pPr>
            <w:r w:rsidRPr="00597B3F">
              <w:rPr>
                <w:sz w:val="18"/>
              </w:rPr>
              <w:t>PC5</w:t>
            </w:r>
          </w:p>
        </w:tc>
      </w:tr>
      <w:tr w:rsidR="00597B3F" w:rsidRPr="00597B3F" w14:paraId="69105132" w14:textId="77777777" w:rsidTr="005E3173">
        <w:tc>
          <w:tcPr>
            <w:tcW w:w="1971" w:type="dxa"/>
          </w:tcPr>
          <w:p w14:paraId="13040F3C" w14:textId="77777777" w:rsidR="005E3173" w:rsidRPr="00597B3F" w:rsidRDefault="005E3173" w:rsidP="005E3173">
            <w:pPr>
              <w:jc w:val="center"/>
              <w:rPr>
                <w:sz w:val="18"/>
              </w:rPr>
            </w:pPr>
            <w:r w:rsidRPr="00597B3F">
              <w:rPr>
                <w:sz w:val="18"/>
              </w:rPr>
              <w:t>Standard deviation</w:t>
            </w:r>
          </w:p>
        </w:tc>
        <w:tc>
          <w:tcPr>
            <w:tcW w:w="717" w:type="dxa"/>
          </w:tcPr>
          <w:p w14:paraId="1DC93595" w14:textId="77777777" w:rsidR="005E3173" w:rsidRPr="00597B3F" w:rsidRDefault="005E3173" w:rsidP="005E3173">
            <w:pPr>
              <w:jc w:val="center"/>
              <w:rPr>
                <w:sz w:val="18"/>
              </w:rPr>
            </w:pPr>
            <w:r w:rsidRPr="00597B3F">
              <w:rPr>
                <w:sz w:val="18"/>
              </w:rPr>
              <w:t>3.61</w:t>
            </w:r>
          </w:p>
        </w:tc>
        <w:tc>
          <w:tcPr>
            <w:tcW w:w="717" w:type="dxa"/>
          </w:tcPr>
          <w:p w14:paraId="4B19653A" w14:textId="77777777" w:rsidR="005E3173" w:rsidRPr="00597B3F" w:rsidRDefault="005E3173" w:rsidP="005E3173">
            <w:pPr>
              <w:jc w:val="center"/>
              <w:rPr>
                <w:sz w:val="18"/>
              </w:rPr>
            </w:pPr>
            <w:r w:rsidRPr="00597B3F">
              <w:rPr>
                <w:sz w:val="18"/>
              </w:rPr>
              <w:t>1.86</w:t>
            </w:r>
          </w:p>
        </w:tc>
        <w:tc>
          <w:tcPr>
            <w:tcW w:w="717" w:type="dxa"/>
          </w:tcPr>
          <w:p w14:paraId="284D4294" w14:textId="77777777" w:rsidR="005E3173" w:rsidRPr="00597B3F" w:rsidRDefault="005E3173" w:rsidP="005E3173">
            <w:pPr>
              <w:jc w:val="center"/>
              <w:rPr>
                <w:sz w:val="18"/>
              </w:rPr>
            </w:pPr>
            <w:r w:rsidRPr="00597B3F">
              <w:rPr>
                <w:sz w:val="18"/>
              </w:rPr>
              <w:t>1.52</w:t>
            </w:r>
          </w:p>
        </w:tc>
        <w:tc>
          <w:tcPr>
            <w:tcW w:w="717" w:type="dxa"/>
          </w:tcPr>
          <w:p w14:paraId="36FFFFCF" w14:textId="77777777" w:rsidR="005E3173" w:rsidRPr="00597B3F" w:rsidRDefault="005E3173" w:rsidP="005E3173">
            <w:pPr>
              <w:jc w:val="center"/>
              <w:rPr>
                <w:sz w:val="18"/>
              </w:rPr>
            </w:pPr>
            <w:r w:rsidRPr="00597B3F">
              <w:rPr>
                <w:sz w:val="18"/>
              </w:rPr>
              <w:t>1.39</w:t>
            </w:r>
          </w:p>
        </w:tc>
        <w:tc>
          <w:tcPr>
            <w:tcW w:w="717" w:type="dxa"/>
          </w:tcPr>
          <w:p w14:paraId="16056C16" w14:textId="77777777" w:rsidR="005E3173" w:rsidRPr="00597B3F" w:rsidRDefault="005E3173" w:rsidP="005E3173">
            <w:pPr>
              <w:jc w:val="center"/>
              <w:rPr>
                <w:sz w:val="18"/>
              </w:rPr>
            </w:pPr>
            <w:r w:rsidRPr="00597B3F">
              <w:rPr>
                <w:sz w:val="18"/>
              </w:rPr>
              <w:t>1.04</w:t>
            </w:r>
          </w:p>
        </w:tc>
      </w:tr>
      <w:tr w:rsidR="00597B3F" w:rsidRPr="00597B3F" w14:paraId="6B400465" w14:textId="77777777" w:rsidTr="005E3173">
        <w:tc>
          <w:tcPr>
            <w:tcW w:w="1971" w:type="dxa"/>
          </w:tcPr>
          <w:p w14:paraId="3207D6C3" w14:textId="77777777" w:rsidR="005E3173" w:rsidRPr="00597B3F" w:rsidRDefault="005E3173" w:rsidP="005E3173">
            <w:pPr>
              <w:jc w:val="center"/>
              <w:rPr>
                <w:sz w:val="18"/>
              </w:rPr>
            </w:pPr>
            <w:r w:rsidRPr="00597B3F">
              <w:rPr>
                <w:sz w:val="18"/>
              </w:rPr>
              <w:t>Proportion of variance</w:t>
            </w:r>
          </w:p>
        </w:tc>
        <w:tc>
          <w:tcPr>
            <w:tcW w:w="717" w:type="dxa"/>
          </w:tcPr>
          <w:p w14:paraId="71C6CA62" w14:textId="77777777" w:rsidR="005E3173" w:rsidRPr="00597B3F" w:rsidRDefault="005E3173" w:rsidP="005E3173">
            <w:pPr>
              <w:jc w:val="center"/>
              <w:rPr>
                <w:sz w:val="18"/>
              </w:rPr>
            </w:pPr>
            <w:r w:rsidRPr="00597B3F">
              <w:rPr>
                <w:sz w:val="18"/>
              </w:rPr>
              <w:t>0.543</w:t>
            </w:r>
          </w:p>
        </w:tc>
        <w:tc>
          <w:tcPr>
            <w:tcW w:w="717" w:type="dxa"/>
          </w:tcPr>
          <w:p w14:paraId="724EFFBE" w14:textId="77777777" w:rsidR="005E3173" w:rsidRPr="00597B3F" w:rsidRDefault="005E3173" w:rsidP="005E3173">
            <w:pPr>
              <w:jc w:val="center"/>
              <w:rPr>
                <w:sz w:val="18"/>
              </w:rPr>
            </w:pPr>
            <w:r w:rsidRPr="00597B3F">
              <w:rPr>
                <w:sz w:val="18"/>
              </w:rPr>
              <w:t>0.144</w:t>
            </w:r>
          </w:p>
        </w:tc>
        <w:tc>
          <w:tcPr>
            <w:tcW w:w="717" w:type="dxa"/>
          </w:tcPr>
          <w:p w14:paraId="5BB61CD3" w14:textId="77777777" w:rsidR="005E3173" w:rsidRPr="00597B3F" w:rsidRDefault="005E3173" w:rsidP="005E3173">
            <w:pPr>
              <w:jc w:val="center"/>
              <w:rPr>
                <w:sz w:val="18"/>
              </w:rPr>
            </w:pPr>
            <w:r w:rsidRPr="00597B3F">
              <w:rPr>
                <w:sz w:val="18"/>
              </w:rPr>
              <w:t>0.096</w:t>
            </w:r>
          </w:p>
        </w:tc>
        <w:tc>
          <w:tcPr>
            <w:tcW w:w="717" w:type="dxa"/>
          </w:tcPr>
          <w:p w14:paraId="747CADC8" w14:textId="77777777" w:rsidR="005E3173" w:rsidRPr="00597B3F" w:rsidRDefault="005E3173" w:rsidP="005E3173">
            <w:pPr>
              <w:jc w:val="center"/>
              <w:rPr>
                <w:sz w:val="18"/>
              </w:rPr>
            </w:pPr>
            <w:r w:rsidRPr="00597B3F">
              <w:rPr>
                <w:sz w:val="18"/>
              </w:rPr>
              <w:t>0.080</w:t>
            </w:r>
          </w:p>
        </w:tc>
        <w:tc>
          <w:tcPr>
            <w:tcW w:w="717" w:type="dxa"/>
          </w:tcPr>
          <w:p w14:paraId="6E23B768" w14:textId="77777777" w:rsidR="005E3173" w:rsidRPr="00597B3F" w:rsidRDefault="005E3173" w:rsidP="005E3173">
            <w:pPr>
              <w:jc w:val="center"/>
              <w:rPr>
                <w:sz w:val="18"/>
              </w:rPr>
            </w:pPr>
            <w:r w:rsidRPr="00597B3F">
              <w:rPr>
                <w:sz w:val="18"/>
              </w:rPr>
              <w:t>0.045</w:t>
            </w:r>
          </w:p>
        </w:tc>
      </w:tr>
      <w:tr w:rsidR="00915746" w:rsidRPr="00597B3F" w14:paraId="46A0DE0F" w14:textId="77777777" w:rsidTr="005E3173">
        <w:tc>
          <w:tcPr>
            <w:tcW w:w="1971" w:type="dxa"/>
          </w:tcPr>
          <w:p w14:paraId="11F57B06" w14:textId="77777777" w:rsidR="005E3173" w:rsidRPr="00597B3F" w:rsidRDefault="005E3173" w:rsidP="005E3173">
            <w:pPr>
              <w:jc w:val="center"/>
              <w:rPr>
                <w:sz w:val="18"/>
              </w:rPr>
            </w:pPr>
            <w:r w:rsidRPr="00597B3F">
              <w:rPr>
                <w:sz w:val="18"/>
              </w:rPr>
              <w:t>Cumulative proportion</w:t>
            </w:r>
          </w:p>
        </w:tc>
        <w:tc>
          <w:tcPr>
            <w:tcW w:w="717" w:type="dxa"/>
          </w:tcPr>
          <w:p w14:paraId="117D510D" w14:textId="77777777" w:rsidR="005E3173" w:rsidRPr="00597B3F" w:rsidRDefault="005E3173" w:rsidP="005E3173">
            <w:pPr>
              <w:jc w:val="center"/>
              <w:rPr>
                <w:sz w:val="18"/>
              </w:rPr>
            </w:pPr>
            <w:r w:rsidRPr="00597B3F">
              <w:rPr>
                <w:sz w:val="18"/>
              </w:rPr>
              <w:t>0.543</w:t>
            </w:r>
          </w:p>
        </w:tc>
        <w:tc>
          <w:tcPr>
            <w:tcW w:w="717" w:type="dxa"/>
          </w:tcPr>
          <w:p w14:paraId="0F9B1839" w14:textId="77777777" w:rsidR="005E3173" w:rsidRPr="00597B3F" w:rsidRDefault="005E3173" w:rsidP="005E3173">
            <w:pPr>
              <w:jc w:val="center"/>
              <w:rPr>
                <w:sz w:val="18"/>
              </w:rPr>
            </w:pPr>
            <w:r w:rsidRPr="00597B3F">
              <w:rPr>
                <w:sz w:val="18"/>
              </w:rPr>
              <w:t>0.688</w:t>
            </w:r>
          </w:p>
        </w:tc>
        <w:tc>
          <w:tcPr>
            <w:tcW w:w="717" w:type="dxa"/>
          </w:tcPr>
          <w:p w14:paraId="4BFCF489" w14:textId="77777777" w:rsidR="005E3173" w:rsidRPr="00597B3F" w:rsidRDefault="005E3173" w:rsidP="005E3173">
            <w:pPr>
              <w:jc w:val="center"/>
              <w:rPr>
                <w:sz w:val="18"/>
              </w:rPr>
            </w:pPr>
            <w:r w:rsidRPr="00597B3F">
              <w:rPr>
                <w:sz w:val="18"/>
              </w:rPr>
              <w:t>0.783</w:t>
            </w:r>
          </w:p>
        </w:tc>
        <w:tc>
          <w:tcPr>
            <w:tcW w:w="717" w:type="dxa"/>
          </w:tcPr>
          <w:p w14:paraId="423DFD97" w14:textId="77777777" w:rsidR="005E3173" w:rsidRPr="00597B3F" w:rsidRDefault="005E3173" w:rsidP="005E3173">
            <w:pPr>
              <w:jc w:val="center"/>
              <w:rPr>
                <w:sz w:val="18"/>
              </w:rPr>
            </w:pPr>
            <w:r w:rsidRPr="00597B3F">
              <w:rPr>
                <w:sz w:val="18"/>
              </w:rPr>
              <w:t>0.864</w:t>
            </w:r>
          </w:p>
        </w:tc>
        <w:tc>
          <w:tcPr>
            <w:tcW w:w="717" w:type="dxa"/>
          </w:tcPr>
          <w:p w14:paraId="5F36712E" w14:textId="77777777" w:rsidR="005E3173" w:rsidRPr="00597B3F" w:rsidRDefault="005E3173" w:rsidP="005E3173">
            <w:pPr>
              <w:jc w:val="center"/>
              <w:rPr>
                <w:sz w:val="18"/>
              </w:rPr>
            </w:pPr>
            <w:r w:rsidRPr="00597B3F">
              <w:rPr>
                <w:sz w:val="18"/>
              </w:rPr>
              <w:t>0.909</w:t>
            </w:r>
          </w:p>
        </w:tc>
      </w:tr>
    </w:tbl>
    <w:p w14:paraId="3D4992C4" w14:textId="77777777" w:rsidR="005E3173" w:rsidRPr="00597B3F" w:rsidRDefault="005E3173" w:rsidP="005510C6">
      <w:pPr>
        <w:pStyle w:val="Caption"/>
        <w:keepNext/>
        <w:rPr>
          <w:color w:val="auto"/>
        </w:rPr>
      </w:pPr>
    </w:p>
    <w:p w14:paraId="4A903DCC" w14:textId="77777777" w:rsidR="005E3173" w:rsidRPr="00597B3F" w:rsidRDefault="005E3173" w:rsidP="005510C6">
      <w:pPr>
        <w:pStyle w:val="Caption"/>
        <w:keepNext/>
        <w:rPr>
          <w:color w:val="auto"/>
          <w:sz w:val="22"/>
        </w:rPr>
      </w:pPr>
    </w:p>
    <w:p w14:paraId="67F5267C" w14:textId="579326DB" w:rsidR="005510C6" w:rsidRPr="00597B3F" w:rsidRDefault="005510C6" w:rsidP="003D0F26">
      <w:pPr>
        <w:pStyle w:val="Caption"/>
        <w:keepNext/>
        <w:spacing w:line="276" w:lineRule="auto"/>
        <w:rPr>
          <w:color w:val="auto"/>
          <w:sz w:val="22"/>
        </w:rPr>
      </w:pPr>
      <w:r w:rsidRPr="00597B3F">
        <w:rPr>
          <w:b/>
          <w:color w:val="auto"/>
          <w:sz w:val="22"/>
        </w:rPr>
        <w:t xml:space="preserve">Table </w:t>
      </w:r>
      <w:r w:rsidR="003D0F26" w:rsidRPr="00597B3F">
        <w:rPr>
          <w:b/>
          <w:color w:val="auto"/>
          <w:sz w:val="22"/>
        </w:rPr>
        <w:t>3</w:t>
      </w:r>
      <w:r w:rsidRPr="00597B3F">
        <w:rPr>
          <w:b/>
          <w:color w:val="auto"/>
          <w:sz w:val="22"/>
        </w:rPr>
        <w:t>.</w:t>
      </w:r>
      <w:r w:rsidRPr="00597B3F">
        <w:rPr>
          <w:color w:val="auto"/>
          <w:sz w:val="22"/>
        </w:rPr>
        <w:t xml:space="preserve"> Data density of trait dataset using </w:t>
      </w:r>
      <w:r w:rsidR="001B201E" w:rsidRPr="00597B3F">
        <w:rPr>
          <w:color w:val="auto"/>
          <w:sz w:val="22"/>
        </w:rPr>
        <w:t xml:space="preserve">(a.) site-specific </w:t>
      </w:r>
      <w:r w:rsidRPr="00597B3F">
        <w:rPr>
          <w:color w:val="auto"/>
          <w:sz w:val="22"/>
        </w:rPr>
        <w:t>field-sampled values for wood density only</w:t>
      </w:r>
      <w:r w:rsidR="001B201E" w:rsidRPr="00597B3F">
        <w:rPr>
          <w:color w:val="auto"/>
          <w:sz w:val="22"/>
        </w:rPr>
        <w:t>;</w:t>
      </w:r>
      <w:r w:rsidRPr="00597B3F">
        <w:rPr>
          <w:color w:val="auto"/>
          <w:sz w:val="22"/>
        </w:rPr>
        <w:t xml:space="preserve"> </w:t>
      </w:r>
      <w:r w:rsidR="001B201E" w:rsidRPr="00597B3F">
        <w:rPr>
          <w:color w:val="auto"/>
          <w:sz w:val="22"/>
        </w:rPr>
        <w:t>(b.) site-specific field-sampled values</w:t>
      </w:r>
      <w:r w:rsidRPr="00597B3F">
        <w:rPr>
          <w:color w:val="auto"/>
          <w:sz w:val="22"/>
        </w:rPr>
        <w:t xml:space="preserve"> combined with averaged values from other sites, and</w:t>
      </w:r>
      <w:r w:rsidR="001B201E" w:rsidRPr="00597B3F">
        <w:rPr>
          <w:color w:val="auto"/>
          <w:sz w:val="22"/>
        </w:rPr>
        <w:t>;</w:t>
      </w:r>
      <w:r w:rsidRPr="00597B3F">
        <w:rPr>
          <w:color w:val="auto"/>
          <w:sz w:val="22"/>
        </w:rPr>
        <w:t xml:space="preserve"> </w:t>
      </w:r>
      <w:r w:rsidR="001B201E" w:rsidRPr="00597B3F">
        <w:rPr>
          <w:color w:val="auto"/>
          <w:sz w:val="22"/>
        </w:rPr>
        <w:t xml:space="preserve">(c.) (a) </w:t>
      </w:r>
      <w:proofErr w:type="gramStart"/>
      <w:r w:rsidR="001B201E" w:rsidRPr="00597B3F">
        <w:rPr>
          <w:color w:val="auto"/>
          <w:sz w:val="22"/>
        </w:rPr>
        <w:t>and</w:t>
      </w:r>
      <w:proofErr w:type="gramEnd"/>
      <w:r w:rsidR="001B201E" w:rsidRPr="00597B3F">
        <w:rPr>
          <w:color w:val="auto"/>
          <w:sz w:val="22"/>
        </w:rPr>
        <w:t xml:space="preserve"> (b) </w:t>
      </w:r>
      <w:r w:rsidRPr="00597B3F">
        <w:rPr>
          <w:color w:val="auto"/>
          <w:sz w:val="22"/>
        </w:rPr>
        <w:t xml:space="preserve">combined with values from wood density databases. </w:t>
      </w:r>
      <w:r w:rsidR="00E419D6" w:rsidRPr="00597B3F">
        <w:rPr>
          <w:color w:val="auto"/>
          <w:sz w:val="22"/>
        </w:rPr>
        <w:t>For one species (</w:t>
      </w:r>
      <w:r w:rsidR="00E419D6" w:rsidRPr="00597B3F">
        <w:rPr>
          <w:i w:val="0"/>
          <w:color w:val="auto"/>
          <w:sz w:val="22"/>
        </w:rPr>
        <w:t xml:space="preserve">Eucalyptus </w:t>
      </w:r>
      <w:proofErr w:type="spellStart"/>
      <w:r w:rsidR="00E419D6" w:rsidRPr="00597B3F">
        <w:rPr>
          <w:i w:val="0"/>
          <w:color w:val="auto"/>
          <w:sz w:val="22"/>
        </w:rPr>
        <w:t>camphora</w:t>
      </w:r>
      <w:proofErr w:type="spellEnd"/>
      <w:r w:rsidR="00E419D6" w:rsidRPr="00597B3F">
        <w:rPr>
          <w:i w:val="0"/>
          <w:color w:val="auto"/>
          <w:sz w:val="22"/>
        </w:rPr>
        <w:t xml:space="preserve"> subsp. </w:t>
      </w:r>
      <w:proofErr w:type="spellStart"/>
      <w:r w:rsidR="00E419D6" w:rsidRPr="00597B3F">
        <w:rPr>
          <w:i w:val="0"/>
          <w:color w:val="auto"/>
          <w:sz w:val="22"/>
        </w:rPr>
        <w:t>humeana</w:t>
      </w:r>
      <w:proofErr w:type="spellEnd"/>
      <w:r w:rsidR="00E419D6" w:rsidRPr="00597B3F">
        <w:rPr>
          <w:i w:val="0"/>
          <w:color w:val="auto"/>
          <w:sz w:val="22"/>
        </w:rPr>
        <w:t>)</w:t>
      </w:r>
      <w:r w:rsidR="00E419D6" w:rsidRPr="00597B3F">
        <w:rPr>
          <w:color w:val="auto"/>
          <w:sz w:val="22"/>
        </w:rPr>
        <w:t>, intraspecific variability was greater than 0.1 g / cm</w:t>
      </w:r>
      <w:r w:rsidR="00E419D6" w:rsidRPr="00597B3F">
        <w:rPr>
          <w:color w:val="auto"/>
          <w:sz w:val="22"/>
          <w:vertAlign w:val="superscript"/>
        </w:rPr>
        <w:t>3</w:t>
      </w:r>
      <w:r w:rsidR="006D03B5" w:rsidRPr="00597B3F">
        <w:rPr>
          <w:color w:val="auto"/>
          <w:sz w:val="22"/>
        </w:rPr>
        <w:t>, and the averaged value was deemed not to be representative of the true value. This species was present at 1.4 % cover at site 9.</w:t>
      </w:r>
    </w:p>
    <w:tbl>
      <w:tblPr>
        <w:tblStyle w:val="TableGrid"/>
        <w:tblW w:w="0" w:type="auto"/>
        <w:tblLook w:val="04A0" w:firstRow="1" w:lastRow="0" w:firstColumn="1" w:lastColumn="0" w:noHBand="0" w:noVBand="1"/>
      </w:tblPr>
      <w:tblGrid>
        <w:gridCol w:w="960"/>
        <w:gridCol w:w="1157"/>
        <w:gridCol w:w="1352"/>
        <w:gridCol w:w="1204"/>
        <w:gridCol w:w="1765"/>
        <w:gridCol w:w="1414"/>
        <w:gridCol w:w="1164"/>
      </w:tblGrid>
      <w:tr w:rsidR="00597B3F" w:rsidRPr="00597B3F" w14:paraId="31CFA392" w14:textId="77777777" w:rsidTr="005510C6">
        <w:trPr>
          <w:trHeight w:val="300"/>
        </w:trPr>
        <w:tc>
          <w:tcPr>
            <w:tcW w:w="960" w:type="dxa"/>
            <w:noWrap/>
            <w:hideMark/>
          </w:tcPr>
          <w:p w14:paraId="5CAA8452" w14:textId="5DDD44DC" w:rsidR="005510C6" w:rsidRPr="00597B3F" w:rsidRDefault="006D03B5" w:rsidP="006D03B5">
            <w:pPr>
              <w:jc w:val="center"/>
              <w:rPr>
                <w:sz w:val="18"/>
              </w:rPr>
            </w:pPr>
            <w:r w:rsidRPr="00597B3F">
              <w:rPr>
                <w:sz w:val="18"/>
              </w:rPr>
              <w:t>Site</w:t>
            </w:r>
          </w:p>
        </w:tc>
        <w:tc>
          <w:tcPr>
            <w:tcW w:w="1157" w:type="dxa"/>
            <w:noWrap/>
            <w:hideMark/>
          </w:tcPr>
          <w:p w14:paraId="14A315FC" w14:textId="3869865C" w:rsidR="005510C6" w:rsidRPr="00597B3F" w:rsidRDefault="005510C6">
            <w:pPr>
              <w:rPr>
                <w:sz w:val="18"/>
              </w:rPr>
            </w:pPr>
            <w:r w:rsidRPr="00597B3F">
              <w:rPr>
                <w:sz w:val="18"/>
              </w:rPr>
              <w:t xml:space="preserve"># species sampled in field </w:t>
            </w:r>
            <w:r w:rsidR="001B201E" w:rsidRPr="00597B3F">
              <w:rPr>
                <w:sz w:val="18"/>
              </w:rPr>
              <w:t>(a)</w:t>
            </w:r>
          </w:p>
        </w:tc>
        <w:tc>
          <w:tcPr>
            <w:tcW w:w="1352" w:type="dxa"/>
            <w:noWrap/>
            <w:hideMark/>
          </w:tcPr>
          <w:p w14:paraId="4F8F1001" w14:textId="43544EA3" w:rsidR="005510C6" w:rsidRPr="00597B3F" w:rsidRDefault="005510C6">
            <w:pPr>
              <w:rPr>
                <w:sz w:val="18"/>
              </w:rPr>
            </w:pPr>
            <w:r w:rsidRPr="00597B3F">
              <w:rPr>
                <w:sz w:val="18"/>
              </w:rPr>
              <w:t>Data density using field sampled values</w:t>
            </w:r>
            <w:r w:rsidR="001B201E" w:rsidRPr="00597B3F">
              <w:rPr>
                <w:sz w:val="18"/>
              </w:rPr>
              <w:t xml:space="preserve"> (a)</w:t>
            </w:r>
          </w:p>
        </w:tc>
        <w:tc>
          <w:tcPr>
            <w:tcW w:w="1204" w:type="dxa"/>
            <w:noWrap/>
            <w:hideMark/>
          </w:tcPr>
          <w:p w14:paraId="3E65DDB1" w14:textId="6F2AA9AE" w:rsidR="005510C6" w:rsidRPr="00597B3F" w:rsidRDefault="005510C6">
            <w:pPr>
              <w:rPr>
                <w:sz w:val="18"/>
              </w:rPr>
            </w:pPr>
            <w:r w:rsidRPr="00597B3F">
              <w:rPr>
                <w:sz w:val="18"/>
              </w:rPr>
              <w:t># specie</w:t>
            </w:r>
            <w:r w:rsidR="001B201E" w:rsidRPr="00597B3F">
              <w:rPr>
                <w:sz w:val="18"/>
              </w:rPr>
              <w:t>s sampled in field at any site (b)</w:t>
            </w:r>
          </w:p>
        </w:tc>
        <w:tc>
          <w:tcPr>
            <w:tcW w:w="1765" w:type="dxa"/>
            <w:noWrap/>
            <w:hideMark/>
          </w:tcPr>
          <w:p w14:paraId="64F69548" w14:textId="52BC6D53" w:rsidR="005510C6" w:rsidRPr="00597B3F" w:rsidRDefault="005510C6">
            <w:pPr>
              <w:rPr>
                <w:sz w:val="18"/>
              </w:rPr>
            </w:pPr>
            <w:r w:rsidRPr="00597B3F">
              <w:rPr>
                <w:sz w:val="18"/>
              </w:rPr>
              <w:t>Data dens</w:t>
            </w:r>
            <w:r w:rsidR="001B201E" w:rsidRPr="00597B3F">
              <w:rPr>
                <w:sz w:val="18"/>
              </w:rPr>
              <w:t>ity using field sampled values at any site (b)</w:t>
            </w:r>
          </w:p>
        </w:tc>
        <w:tc>
          <w:tcPr>
            <w:tcW w:w="1414" w:type="dxa"/>
            <w:noWrap/>
            <w:hideMark/>
          </w:tcPr>
          <w:p w14:paraId="62C9DE05" w14:textId="6EFCBFDE" w:rsidR="005510C6" w:rsidRPr="00597B3F" w:rsidRDefault="005510C6">
            <w:pPr>
              <w:rPr>
                <w:sz w:val="18"/>
              </w:rPr>
            </w:pPr>
            <w:r w:rsidRPr="00597B3F">
              <w:rPr>
                <w:sz w:val="18"/>
              </w:rPr>
              <w:t># species with available trait values</w:t>
            </w:r>
            <w:r w:rsidR="001B201E" w:rsidRPr="00597B3F">
              <w:rPr>
                <w:sz w:val="18"/>
              </w:rPr>
              <w:t xml:space="preserve"> (c) </w:t>
            </w:r>
          </w:p>
        </w:tc>
        <w:tc>
          <w:tcPr>
            <w:tcW w:w="1164" w:type="dxa"/>
            <w:noWrap/>
            <w:hideMark/>
          </w:tcPr>
          <w:p w14:paraId="7557511C" w14:textId="2AE1816A" w:rsidR="005510C6" w:rsidRPr="00597B3F" w:rsidRDefault="005510C6">
            <w:pPr>
              <w:rPr>
                <w:sz w:val="18"/>
              </w:rPr>
            </w:pPr>
            <w:r w:rsidRPr="00597B3F">
              <w:rPr>
                <w:sz w:val="18"/>
              </w:rPr>
              <w:t>Data density using all values</w:t>
            </w:r>
            <w:r w:rsidR="001B201E" w:rsidRPr="00597B3F">
              <w:rPr>
                <w:sz w:val="18"/>
              </w:rPr>
              <w:t xml:space="preserve"> (c) </w:t>
            </w:r>
          </w:p>
        </w:tc>
      </w:tr>
      <w:tr w:rsidR="00597B3F" w:rsidRPr="00597B3F" w14:paraId="17D8F167" w14:textId="77777777" w:rsidTr="005510C6">
        <w:trPr>
          <w:trHeight w:val="300"/>
        </w:trPr>
        <w:tc>
          <w:tcPr>
            <w:tcW w:w="960" w:type="dxa"/>
            <w:noWrap/>
            <w:hideMark/>
          </w:tcPr>
          <w:p w14:paraId="05C2F062" w14:textId="77777777" w:rsidR="005510C6" w:rsidRPr="00597B3F" w:rsidRDefault="005510C6" w:rsidP="005510C6">
            <w:pPr>
              <w:jc w:val="center"/>
              <w:rPr>
                <w:sz w:val="18"/>
              </w:rPr>
            </w:pPr>
            <w:r w:rsidRPr="00597B3F">
              <w:rPr>
                <w:sz w:val="18"/>
              </w:rPr>
              <w:t>1</w:t>
            </w:r>
          </w:p>
        </w:tc>
        <w:tc>
          <w:tcPr>
            <w:tcW w:w="1157" w:type="dxa"/>
            <w:noWrap/>
            <w:hideMark/>
          </w:tcPr>
          <w:p w14:paraId="228C9900" w14:textId="77777777" w:rsidR="005510C6" w:rsidRPr="00597B3F" w:rsidRDefault="005510C6" w:rsidP="005510C6">
            <w:pPr>
              <w:jc w:val="center"/>
              <w:rPr>
                <w:sz w:val="18"/>
              </w:rPr>
            </w:pPr>
            <w:r w:rsidRPr="00597B3F">
              <w:rPr>
                <w:sz w:val="18"/>
              </w:rPr>
              <w:t>7</w:t>
            </w:r>
          </w:p>
        </w:tc>
        <w:tc>
          <w:tcPr>
            <w:tcW w:w="1352" w:type="dxa"/>
            <w:noWrap/>
            <w:hideMark/>
          </w:tcPr>
          <w:p w14:paraId="06D64DB9" w14:textId="77777777" w:rsidR="005510C6" w:rsidRPr="00597B3F" w:rsidRDefault="005510C6" w:rsidP="005510C6">
            <w:pPr>
              <w:jc w:val="center"/>
              <w:rPr>
                <w:sz w:val="18"/>
              </w:rPr>
            </w:pPr>
            <w:r w:rsidRPr="00597B3F">
              <w:rPr>
                <w:sz w:val="18"/>
              </w:rPr>
              <w:t>0.98</w:t>
            </w:r>
          </w:p>
        </w:tc>
        <w:tc>
          <w:tcPr>
            <w:tcW w:w="1204" w:type="dxa"/>
            <w:noWrap/>
            <w:hideMark/>
          </w:tcPr>
          <w:p w14:paraId="667078F0" w14:textId="77777777" w:rsidR="005510C6" w:rsidRPr="00597B3F" w:rsidRDefault="005510C6" w:rsidP="005510C6">
            <w:pPr>
              <w:jc w:val="center"/>
              <w:rPr>
                <w:sz w:val="18"/>
              </w:rPr>
            </w:pPr>
            <w:r w:rsidRPr="00597B3F">
              <w:rPr>
                <w:sz w:val="18"/>
              </w:rPr>
              <w:t>7</w:t>
            </w:r>
          </w:p>
        </w:tc>
        <w:tc>
          <w:tcPr>
            <w:tcW w:w="1765" w:type="dxa"/>
            <w:noWrap/>
            <w:hideMark/>
          </w:tcPr>
          <w:p w14:paraId="03DC7B03" w14:textId="77777777" w:rsidR="005510C6" w:rsidRPr="00597B3F" w:rsidRDefault="005510C6" w:rsidP="005510C6">
            <w:pPr>
              <w:jc w:val="center"/>
              <w:rPr>
                <w:sz w:val="18"/>
              </w:rPr>
            </w:pPr>
            <w:r w:rsidRPr="00597B3F">
              <w:rPr>
                <w:sz w:val="18"/>
              </w:rPr>
              <w:t>0.98</w:t>
            </w:r>
          </w:p>
        </w:tc>
        <w:tc>
          <w:tcPr>
            <w:tcW w:w="1414" w:type="dxa"/>
            <w:noWrap/>
            <w:hideMark/>
          </w:tcPr>
          <w:p w14:paraId="3C67E42D" w14:textId="77777777" w:rsidR="005510C6" w:rsidRPr="00597B3F" w:rsidRDefault="005510C6" w:rsidP="005510C6">
            <w:pPr>
              <w:jc w:val="center"/>
              <w:rPr>
                <w:sz w:val="18"/>
              </w:rPr>
            </w:pPr>
            <w:r w:rsidRPr="00597B3F">
              <w:rPr>
                <w:sz w:val="18"/>
              </w:rPr>
              <w:t>9</w:t>
            </w:r>
          </w:p>
        </w:tc>
        <w:tc>
          <w:tcPr>
            <w:tcW w:w="1164" w:type="dxa"/>
            <w:noWrap/>
            <w:hideMark/>
          </w:tcPr>
          <w:p w14:paraId="78A97420" w14:textId="77777777" w:rsidR="005510C6" w:rsidRPr="00597B3F" w:rsidRDefault="005510C6" w:rsidP="005510C6">
            <w:pPr>
              <w:jc w:val="center"/>
              <w:rPr>
                <w:sz w:val="18"/>
              </w:rPr>
            </w:pPr>
            <w:r w:rsidRPr="00597B3F">
              <w:rPr>
                <w:sz w:val="18"/>
              </w:rPr>
              <w:t>1.00</w:t>
            </w:r>
          </w:p>
        </w:tc>
      </w:tr>
      <w:tr w:rsidR="00597B3F" w:rsidRPr="00597B3F" w14:paraId="14F3D866" w14:textId="77777777" w:rsidTr="005510C6">
        <w:trPr>
          <w:trHeight w:val="300"/>
        </w:trPr>
        <w:tc>
          <w:tcPr>
            <w:tcW w:w="960" w:type="dxa"/>
            <w:noWrap/>
            <w:hideMark/>
          </w:tcPr>
          <w:p w14:paraId="78B1C6F8" w14:textId="77777777" w:rsidR="005510C6" w:rsidRPr="00597B3F" w:rsidRDefault="005510C6" w:rsidP="005510C6">
            <w:pPr>
              <w:jc w:val="center"/>
              <w:rPr>
                <w:sz w:val="18"/>
              </w:rPr>
            </w:pPr>
            <w:r w:rsidRPr="00597B3F">
              <w:rPr>
                <w:sz w:val="18"/>
              </w:rPr>
              <w:t>2</w:t>
            </w:r>
          </w:p>
        </w:tc>
        <w:tc>
          <w:tcPr>
            <w:tcW w:w="1157" w:type="dxa"/>
            <w:noWrap/>
            <w:hideMark/>
          </w:tcPr>
          <w:p w14:paraId="572B0E08" w14:textId="77777777" w:rsidR="005510C6" w:rsidRPr="00597B3F" w:rsidRDefault="005510C6" w:rsidP="005510C6">
            <w:pPr>
              <w:jc w:val="center"/>
              <w:rPr>
                <w:sz w:val="18"/>
              </w:rPr>
            </w:pPr>
            <w:r w:rsidRPr="00597B3F">
              <w:rPr>
                <w:sz w:val="18"/>
              </w:rPr>
              <w:t>1</w:t>
            </w:r>
          </w:p>
        </w:tc>
        <w:tc>
          <w:tcPr>
            <w:tcW w:w="1352" w:type="dxa"/>
            <w:noWrap/>
            <w:hideMark/>
          </w:tcPr>
          <w:p w14:paraId="29C61F27" w14:textId="77777777" w:rsidR="005510C6" w:rsidRPr="00597B3F" w:rsidRDefault="005510C6" w:rsidP="005510C6">
            <w:pPr>
              <w:jc w:val="center"/>
              <w:rPr>
                <w:sz w:val="18"/>
              </w:rPr>
            </w:pPr>
            <w:r w:rsidRPr="00597B3F">
              <w:rPr>
                <w:sz w:val="18"/>
              </w:rPr>
              <w:t>1.00</w:t>
            </w:r>
          </w:p>
        </w:tc>
        <w:tc>
          <w:tcPr>
            <w:tcW w:w="1204" w:type="dxa"/>
            <w:noWrap/>
            <w:hideMark/>
          </w:tcPr>
          <w:p w14:paraId="30A5D144" w14:textId="77777777" w:rsidR="005510C6" w:rsidRPr="00597B3F" w:rsidRDefault="005510C6" w:rsidP="005510C6">
            <w:pPr>
              <w:jc w:val="center"/>
              <w:rPr>
                <w:sz w:val="18"/>
              </w:rPr>
            </w:pPr>
            <w:r w:rsidRPr="00597B3F">
              <w:rPr>
                <w:sz w:val="18"/>
              </w:rPr>
              <w:t>1</w:t>
            </w:r>
          </w:p>
        </w:tc>
        <w:tc>
          <w:tcPr>
            <w:tcW w:w="1765" w:type="dxa"/>
            <w:noWrap/>
            <w:hideMark/>
          </w:tcPr>
          <w:p w14:paraId="6459FD16" w14:textId="77777777" w:rsidR="005510C6" w:rsidRPr="00597B3F" w:rsidRDefault="005510C6" w:rsidP="005510C6">
            <w:pPr>
              <w:jc w:val="center"/>
              <w:rPr>
                <w:sz w:val="18"/>
              </w:rPr>
            </w:pPr>
            <w:r w:rsidRPr="00597B3F">
              <w:rPr>
                <w:sz w:val="18"/>
              </w:rPr>
              <w:t>1.00</w:t>
            </w:r>
          </w:p>
        </w:tc>
        <w:tc>
          <w:tcPr>
            <w:tcW w:w="1414" w:type="dxa"/>
            <w:noWrap/>
            <w:hideMark/>
          </w:tcPr>
          <w:p w14:paraId="6B4F1798" w14:textId="77777777" w:rsidR="005510C6" w:rsidRPr="00597B3F" w:rsidRDefault="005510C6" w:rsidP="005510C6">
            <w:pPr>
              <w:jc w:val="center"/>
              <w:rPr>
                <w:sz w:val="18"/>
              </w:rPr>
            </w:pPr>
            <w:r w:rsidRPr="00597B3F">
              <w:rPr>
                <w:sz w:val="18"/>
              </w:rPr>
              <w:t>1</w:t>
            </w:r>
          </w:p>
        </w:tc>
        <w:tc>
          <w:tcPr>
            <w:tcW w:w="1164" w:type="dxa"/>
            <w:noWrap/>
            <w:hideMark/>
          </w:tcPr>
          <w:p w14:paraId="544923EB" w14:textId="77777777" w:rsidR="005510C6" w:rsidRPr="00597B3F" w:rsidRDefault="005510C6" w:rsidP="005510C6">
            <w:pPr>
              <w:jc w:val="center"/>
              <w:rPr>
                <w:sz w:val="18"/>
              </w:rPr>
            </w:pPr>
            <w:r w:rsidRPr="00597B3F">
              <w:rPr>
                <w:sz w:val="18"/>
              </w:rPr>
              <w:t>1.00</w:t>
            </w:r>
          </w:p>
        </w:tc>
      </w:tr>
      <w:tr w:rsidR="00597B3F" w:rsidRPr="00597B3F" w14:paraId="7F7122B6" w14:textId="77777777" w:rsidTr="005510C6">
        <w:trPr>
          <w:trHeight w:val="300"/>
        </w:trPr>
        <w:tc>
          <w:tcPr>
            <w:tcW w:w="960" w:type="dxa"/>
            <w:noWrap/>
            <w:hideMark/>
          </w:tcPr>
          <w:p w14:paraId="69C1755A" w14:textId="77777777" w:rsidR="005510C6" w:rsidRPr="00597B3F" w:rsidRDefault="005510C6" w:rsidP="005510C6">
            <w:pPr>
              <w:jc w:val="center"/>
              <w:rPr>
                <w:sz w:val="18"/>
              </w:rPr>
            </w:pPr>
            <w:r w:rsidRPr="00597B3F">
              <w:rPr>
                <w:sz w:val="18"/>
              </w:rPr>
              <w:t>3</w:t>
            </w:r>
          </w:p>
        </w:tc>
        <w:tc>
          <w:tcPr>
            <w:tcW w:w="1157" w:type="dxa"/>
            <w:noWrap/>
            <w:hideMark/>
          </w:tcPr>
          <w:p w14:paraId="3DBFF5A8" w14:textId="77777777" w:rsidR="005510C6" w:rsidRPr="00597B3F" w:rsidRDefault="005510C6" w:rsidP="005510C6">
            <w:pPr>
              <w:jc w:val="center"/>
              <w:rPr>
                <w:sz w:val="18"/>
              </w:rPr>
            </w:pPr>
            <w:r w:rsidRPr="00597B3F">
              <w:rPr>
                <w:sz w:val="18"/>
              </w:rPr>
              <w:t>4</w:t>
            </w:r>
          </w:p>
        </w:tc>
        <w:tc>
          <w:tcPr>
            <w:tcW w:w="1352" w:type="dxa"/>
            <w:noWrap/>
            <w:hideMark/>
          </w:tcPr>
          <w:p w14:paraId="08400075" w14:textId="77777777" w:rsidR="005510C6" w:rsidRPr="00597B3F" w:rsidRDefault="005510C6" w:rsidP="005510C6">
            <w:pPr>
              <w:jc w:val="center"/>
              <w:rPr>
                <w:sz w:val="18"/>
              </w:rPr>
            </w:pPr>
            <w:r w:rsidRPr="00597B3F">
              <w:rPr>
                <w:sz w:val="18"/>
              </w:rPr>
              <w:t>0.97</w:t>
            </w:r>
          </w:p>
        </w:tc>
        <w:tc>
          <w:tcPr>
            <w:tcW w:w="1204" w:type="dxa"/>
            <w:noWrap/>
            <w:hideMark/>
          </w:tcPr>
          <w:p w14:paraId="1A5E347D" w14:textId="77777777" w:rsidR="005510C6" w:rsidRPr="00597B3F" w:rsidRDefault="005510C6" w:rsidP="005510C6">
            <w:pPr>
              <w:jc w:val="center"/>
              <w:rPr>
                <w:sz w:val="18"/>
              </w:rPr>
            </w:pPr>
            <w:r w:rsidRPr="00597B3F">
              <w:rPr>
                <w:sz w:val="18"/>
              </w:rPr>
              <w:t>5</w:t>
            </w:r>
          </w:p>
        </w:tc>
        <w:tc>
          <w:tcPr>
            <w:tcW w:w="1765" w:type="dxa"/>
            <w:noWrap/>
            <w:hideMark/>
          </w:tcPr>
          <w:p w14:paraId="2B106ACA" w14:textId="77777777" w:rsidR="005510C6" w:rsidRPr="00597B3F" w:rsidRDefault="005510C6" w:rsidP="005510C6">
            <w:pPr>
              <w:jc w:val="center"/>
              <w:rPr>
                <w:sz w:val="18"/>
              </w:rPr>
            </w:pPr>
            <w:r w:rsidRPr="00597B3F">
              <w:rPr>
                <w:sz w:val="18"/>
              </w:rPr>
              <w:t>1.00</w:t>
            </w:r>
          </w:p>
        </w:tc>
        <w:tc>
          <w:tcPr>
            <w:tcW w:w="1414" w:type="dxa"/>
            <w:noWrap/>
            <w:hideMark/>
          </w:tcPr>
          <w:p w14:paraId="2FDD96E2" w14:textId="77777777" w:rsidR="005510C6" w:rsidRPr="00597B3F" w:rsidRDefault="005510C6" w:rsidP="005510C6">
            <w:pPr>
              <w:jc w:val="center"/>
              <w:rPr>
                <w:sz w:val="18"/>
              </w:rPr>
            </w:pPr>
            <w:r w:rsidRPr="00597B3F">
              <w:rPr>
                <w:sz w:val="18"/>
              </w:rPr>
              <w:t>5</w:t>
            </w:r>
          </w:p>
        </w:tc>
        <w:tc>
          <w:tcPr>
            <w:tcW w:w="1164" w:type="dxa"/>
            <w:noWrap/>
            <w:hideMark/>
          </w:tcPr>
          <w:p w14:paraId="62F22B39" w14:textId="77777777" w:rsidR="005510C6" w:rsidRPr="00597B3F" w:rsidRDefault="005510C6" w:rsidP="005510C6">
            <w:pPr>
              <w:jc w:val="center"/>
              <w:rPr>
                <w:sz w:val="18"/>
              </w:rPr>
            </w:pPr>
            <w:r w:rsidRPr="00597B3F">
              <w:rPr>
                <w:sz w:val="18"/>
              </w:rPr>
              <w:t>1.00</w:t>
            </w:r>
          </w:p>
        </w:tc>
      </w:tr>
      <w:tr w:rsidR="00597B3F" w:rsidRPr="00597B3F" w14:paraId="2F335BE2" w14:textId="77777777" w:rsidTr="005510C6">
        <w:trPr>
          <w:trHeight w:val="300"/>
        </w:trPr>
        <w:tc>
          <w:tcPr>
            <w:tcW w:w="960" w:type="dxa"/>
            <w:noWrap/>
            <w:hideMark/>
          </w:tcPr>
          <w:p w14:paraId="324DADBC" w14:textId="77777777" w:rsidR="005510C6" w:rsidRPr="00597B3F" w:rsidRDefault="005510C6" w:rsidP="005510C6">
            <w:pPr>
              <w:jc w:val="center"/>
              <w:rPr>
                <w:sz w:val="18"/>
              </w:rPr>
            </w:pPr>
            <w:r w:rsidRPr="00597B3F">
              <w:rPr>
                <w:sz w:val="18"/>
              </w:rPr>
              <w:t>4</w:t>
            </w:r>
          </w:p>
        </w:tc>
        <w:tc>
          <w:tcPr>
            <w:tcW w:w="1157" w:type="dxa"/>
            <w:noWrap/>
            <w:hideMark/>
          </w:tcPr>
          <w:p w14:paraId="690EC476" w14:textId="77777777" w:rsidR="005510C6" w:rsidRPr="00597B3F" w:rsidRDefault="005510C6" w:rsidP="005510C6">
            <w:pPr>
              <w:jc w:val="center"/>
              <w:rPr>
                <w:sz w:val="18"/>
              </w:rPr>
            </w:pPr>
            <w:r w:rsidRPr="00597B3F">
              <w:rPr>
                <w:sz w:val="18"/>
              </w:rPr>
              <w:t>4</w:t>
            </w:r>
          </w:p>
        </w:tc>
        <w:tc>
          <w:tcPr>
            <w:tcW w:w="1352" w:type="dxa"/>
            <w:noWrap/>
            <w:hideMark/>
          </w:tcPr>
          <w:p w14:paraId="7693C16C" w14:textId="77777777" w:rsidR="005510C6" w:rsidRPr="00597B3F" w:rsidRDefault="005510C6" w:rsidP="005510C6">
            <w:pPr>
              <w:jc w:val="center"/>
              <w:rPr>
                <w:sz w:val="18"/>
              </w:rPr>
            </w:pPr>
            <w:r w:rsidRPr="00597B3F">
              <w:rPr>
                <w:sz w:val="18"/>
              </w:rPr>
              <w:t>0.81</w:t>
            </w:r>
          </w:p>
        </w:tc>
        <w:tc>
          <w:tcPr>
            <w:tcW w:w="1204" w:type="dxa"/>
            <w:noWrap/>
            <w:hideMark/>
          </w:tcPr>
          <w:p w14:paraId="1D705548" w14:textId="77777777" w:rsidR="005510C6" w:rsidRPr="00597B3F" w:rsidRDefault="005510C6" w:rsidP="005510C6">
            <w:pPr>
              <w:jc w:val="center"/>
              <w:rPr>
                <w:sz w:val="18"/>
              </w:rPr>
            </w:pPr>
            <w:r w:rsidRPr="00597B3F">
              <w:rPr>
                <w:sz w:val="18"/>
              </w:rPr>
              <w:t>5</w:t>
            </w:r>
          </w:p>
        </w:tc>
        <w:tc>
          <w:tcPr>
            <w:tcW w:w="1765" w:type="dxa"/>
            <w:noWrap/>
            <w:hideMark/>
          </w:tcPr>
          <w:p w14:paraId="7984672C" w14:textId="77777777" w:rsidR="005510C6" w:rsidRPr="00597B3F" w:rsidRDefault="005510C6" w:rsidP="005510C6">
            <w:pPr>
              <w:jc w:val="center"/>
              <w:rPr>
                <w:sz w:val="18"/>
              </w:rPr>
            </w:pPr>
            <w:r w:rsidRPr="00597B3F">
              <w:rPr>
                <w:sz w:val="18"/>
              </w:rPr>
              <w:t>0.95</w:t>
            </w:r>
          </w:p>
        </w:tc>
        <w:tc>
          <w:tcPr>
            <w:tcW w:w="1414" w:type="dxa"/>
            <w:noWrap/>
            <w:hideMark/>
          </w:tcPr>
          <w:p w14:paraId="6776EFC7" w14:textId="77777777" w:rsidR="005510C6" w:rsidRPr="00597B3F" w:rsidRDefault="005510C6" w:rsidP="005510C6">
            <w:pPr>
              <w:jc w:val="center"/>
              <w:rPr>
                <w:sz w:val="18"/>
              </w:rPr>
            </w:pPr>
            <w:r w:rsidRPr="00597B3F">
              <w:rPr>
                <w:sz w:val="18"/>
              </w:rPr>
              <w:t>6</w:t>
            </w:r>
          </w:p>
        </w:tc>
        <w:tc>
          <w:tcPr>
            <w:tcW w:w="1164" w:type="dxa"/>
            <w:noWrap/>
            <w:hideMark/>
          </w:tcPr>
          <w:p w14:paraId="58D99B9B" w14:textId="77777777" w:rsidR="005510C6" w:rsidRPr="00597B3F" w:rsidRDefault="005510C6" w:rsidP="005510C6">
            <w:pPr>
              <w:jc w:val="center"/>
              <w:rPr>
                <w:sz w:val="18"/>
              </w:rPr>
            </w:pPr>
            <w:r w:rsidRPr="00597B3F">
              <w:rPr>
                <w:sz w:val="18"/>
              </w:rPr>
              <w:t>0.97</w:t>
            </w:r>
          </w:p>
        </w:tc>
      </w:tr>
      <w:tr w:rsidR="00597B3F" w:rsidRPr="00597B3F" w14:paraId="50071CEF" w14:textId="77777777" w:rsidTr="005510C6">
        <w:trPr>
          <w:trHeight w:val="300"/>
        </w:trPr>
        <w:tc>
          <w:tcPr>
            <w:tcW w:w="960" w:type="dxa"/>
            <w:noWrap/>
            <w:hideMark/>
          </w:tcPr>
          <w:p w14:paraId="6058A705" w14:textId="77777777" w:rsidR="005510C6" w:rsidRPr="00597B3F" w:rsidRDefault="005510C6" w:rsidP="005510C6">
            <w:pPr>
              <w:jc w:val="center"/>
              <w:rPr>
                <w:sz w:val="18"/>
              </w:rPr>
            </w:pPr>
            <w:r w:rsidRPr="00597B3F">
              <w:rPr>
                <w:sz w:val="18"/>
              </w:rPr>
              <w:t>5</w:t>
            </w:r>
          </w:p>
        </w:tc>
        <w:tc>
          <w:tcPr>
            <w:tcW w:w="1157" w:type="dxa"/>
            <w:noWrap/>
            <w:hideMark/>
          </w:tcPr>
          <w:p w14:paraId="440C5451" w14:textId="77777777" w:rsidR="005510C6" w:rsidRPr="00597B3F" w:rsidRDefault="005510C6" w:rsidP="005510C6">
            <w:pPr>
              <w:jc w:val="center"/>
              <w:rPr>
                <w:sz w:val="18"/>
              </w:rPr>
            </w:pPr>
            <w:r w:rsidRPr="00597B3F">
              <w:rPr>
                <w:sz w:val="18"/>
              </w:rPr>
              <w:t>5</w:t>
            </w:r>
          </w:p>
        </w:tc>
        <w:tc>
          <w:tcPr>
            <w:tcW w:w="1352" w:type="dxa"/>
            <w:noWrap/>
            <w:hideMark/>
          </w:tcPr>
          <w:p w14:paraId="280B77AD" w14:textId="77777777" w:rsidR="005510C6" w:rsidRPr="00597B3F" w:rsidRDefault="005510C6" w:rsidP="005510C6">
            <w:pPr>
              <w:jc w:val="center"/>
              <w:rPr>
                <w:sz w:val="18"/>
              </w:rPr>
            </w:pPr>
            <w:r w:rsidRPr="00597B3F">
              <w:rPr>
                <w:sz w:val="18"/>
              </w:rPr>
              <w:t>1.00</w:t>
            </w:r>
          </w:p>
        </w:tc>
        <w:tc>
          <w:tcPr>
            <w:tcW w:w="1204" w:type="dxa"/>
            <w:noWrap/>
            <w:hideMark/>
          </w:tcPr>
          <w:p w14:paraId="5AFAEFED" w14:textId="77777777" w:rsidR="005510C6" w:rsidRPr="00597B3F" w:rsidRDefault="005510C6" w:rsidP="005510C6">
            <w:pPr>
              <w:jc w:val="center"/>
              <w:rPr>
                <w:sz w:val="18"/>
              </w:rPr>
            </w:pPr>
            <w:r w:rsidRPr="00597B3F">
              <w:rPr>
                <w:sz w:val="18"/>
              </w:rPr>
              <w:t>5</w:t>
            </w:r>
          </w:p>
        </w:tc>
        <w:tc>
          <w:tcPr>
            <w:tcW w:w="1765" w:type="dxa"/>
            <w:noWrap/>
            <w:hideMark/>
          </w:tcPr>
          <w:p w14:paraId="67D34D42" w14:textId="77777777" w:rsidR="005510C6" w:rsidRPr="00597B3F" w:rsidRDefault="005510C6" w:rsidP="005510C6">
            <w:pPr>
              <w:jc w:val="center"/>
              <w:rPr>
                <w:sz w:val="18"/>
              </w:rPr>
            </w:pPr>
            <w:r w:rsidRPr="00597B3F">
              <w:rPr>
                <w:sz w:val="18"/>
              </w:rPr>
              <w:t>1.00</w:t>
            </w:r>
          </w:p>
        </w:tc>
        <w:tc>
          <w:tcPr>
            <w:tcW w:w="1414" w:type="dxa"/>
            <w:noWrap/>
            <w:hideMark/>
          </w:tcPr>
          <w:p w14:paraId="3047C7FA" w14:textId="77777777" w:rsidR="005510C6" w:rsidRPr="00597B3F" w:rsidRDefault="005510C6" w:rsidP="005510C6">
            <w:pPr>
              <w:jc w:val="center"/>
              <w:rPr>
                <w:sz w:val="18"/>
              </w:rPr>
            </w:pPr>
            <w:r w:rsidRPr="00597B3F">
              <w:rPr>
                <w:sz w:val="18"/>
              </w:rPr>
              <w:t>5</w:t>
            </w:r>
          </w:p>
        </w:tc>
        <w:tc>
          <w:tcPr>
            <w:tcW w:w="1164" w:type="dxa"/>
            <w:noWrap/>
            <w:hideMark/>
          </w:tcPr>
          <w:p w14:paraId="4CCF83FB" w14:textId="77777777" w:rsidR="005510C6" w:rsidRPr="00597B3F" w:rsidRDefault="005510C6" w:rsidP="005510C6">
            <w:pPr>
              <w:jc w:val="center"/>
              <w:rPr>
                <w:sz w:val="18"/>
              </w:rPr>
            </w:pPr>
            <w:r w:rsidRPr="00597B3F">
              <w:rPr>
                <w:sz w:val="18"/>
              </w:rPr>
              <w:t>1.00</w:t>
            </w:r>
          </w:p>
        </w:tc>
      </w:tr>
      <w:tr w:rsidR="00597B3F" w:rsidRPr="00597B3F" w14:paraId="409C480A" w14:textId="77777777" w:rsidTr="005510C6">
        <w:trPr>
          <w:trHeight w:val="300"/>
        </w:trPr>
        <w:tc>
          <w:tcPr>
            <w:tcW w:w="960" w:type="dxa"/>
            <w:noWrap/>
            <w:hideMark/>
          </w:tcPr>
          <w:p w14:paraId="3BEDD41E" w14:textId="77777777" w:rsidR="005510C6" w:rsidRPr="00597B3F" w:rsidRDefault="005510C6" w:rsidP="005510C6">
            <w:pPr>
              <w:jc w:val="center"/>
              <w:rPr>
                <w:sz w:val="18"/>
              </w:rPr>
            </w:pPr>
            <w:r w:rsidRPr="00597B3F">
              <w:rPr>
                <w:sz w:val="18"/>
              </w:rPr>
              <w:t>6</w:t>
            </w:r>
          </w:p>
        </w:tc>
        <w:tc>
          <w:tcPr>
            <w:tcW w:w="1157" w:type="dxa"/>
            <w:noWrap/>
            <w:hideMark/>
          </w:tcPr>
          <w:p w14:paraId="2DEF4DD4" w14:textId="77777777" w:rsidR="005510C6" w:rsidRPr="00597B3F" w:rsidRDefault="005510C6" w:rsidP="005510C6">
            <w:pPr>
              <w:jc w:val="center"/>
              <w:rPr>
                <w:sz w:val="18"/>
              </w:rPr>
            </w:pPr>
            <w:r w:rsidRPr="00597B3F">
              <w:rPr>
                <w:sz w:val="18"/>
              </w:rPr>
              <w:t>5</w:t>
            </w:r>
          </w:p>
        </w:tc>
        <w:tc>
          <w:tcPr>
            <w:tcW w:w="1352" w:type="dxa"/>
            <w:noWrap/>
            <w:hideMark/>
          </w:tcPr>
          <w:p w14:paraId="50898A11" w14:textId="77777777" w:rsidR="005510C6" w:rsidRPr="00597B3F" w:rsidRDefault="005510C6" w:rsidP="005510C6">
            <w:pPr>
              <w:jc w:val="center"/>
              <w:rPr>
                <w:sz w:val="18"/>
              </w:rPr>
            </w:pPr>
            <w:r w:rsidRPr="00597B3F">
              <w:rPr>
                <w:sz w:val="18"/>
              </w:rPr>
              <w:t>1.00</w:t>
            </w:r>
          </w:p>
        </w:tc>
        <w:tc>
          <w:tcPr>
            <w:tcW w:w="1204" w:type="dxa"/>
            <w:noWrap/>
            <w:hideMark/>
          </w:tcPr>
          <w:p w14:paraId="47829607" w14:textId="77777777" w:rsidR="005510C6" w:rsidRPr="00597B3F" w:rsidRDefault="005510C6" w:rsidP="005510C6">
            <w:pPr>
              <w:jc w:val="center"/>
              <w:rPr>
                <w:sz w:val="18"/>
              </w:rPr>
            </w:pPr>
            <w:r w:rsidRPr="00597B3F">
              <w:rPr>
                <w:sz w:val="18"/>
              </w:rPr>
              <w:t>5</w:t>
            </w:r>
          </w:p>
        </w:tc>
        <w:tc>
          <w:tcPr>
            <w:tcW w:w="1765" w:type="dxa"/>
            <w:noWrap/>
            <w:hideMark/>
          </w:tcPr>
          <w:p w14:paraId="77C25AF0" w14:textId="77777777" w:rsidR="005510C6" w:rsidRPr="00597B3F" w:rsidRDefault="005510C6" w:rsidP="005510C6">
            <w:pPr>
              <w:jc w:val="center"/>
              <w:rPr>
                <w:sz w:val="18"/>
              </w:rPr>
            </w:pPr>
            <w:r w:rsidRPr="00597B3F">
              <w:rPr>
                <w:sz w:val="18"/>
              </w:rPr>
              <w:t>1.00</w:t>
            </w:r>
          </w:p>
        </w:tc>
        <w:tc>
          <w:tcPr>
            <w:tcW w:w="1414" w:type="dxa"/>
            <w:noWrap/>
            <w:hideMark/>
          </w:tcPr>
          <w:p w14:paraId="7627A591" w14:textId="77777777" w:rsidR="005510C6" w:rsidRPr="00597B3F" w:rsidRDefault="005510C6" w:rsidP="005510C6">
            <w:pPr>
              <w:jc w:val="center"/>
              <w:rPr>
                <w:sz w:val="18"/>
              </w:rPr>
            </w:pPr>
            <w:r w:rsidRPr="00597B3F">
              <w:rPr>
                <w:sz w:val="18"/>
              </w:rPr>
              <w:t>5</w:t>
            </w:r>
          </w:p>
        </w:tc>
        <w:tc>
          <w:tcPr>
            <w:tcW w:w="1164" w:type="dxa"/>
            <w:noWrap/>
            <w:hideMark/>
          </w:tcPr>
          <w:p w14:paraId="6A079998" w14:textId="77777777" w:rsidR="005510C6" w:rsidRPr="00597B3F" w:rsidRDefault="005510C6" w:rsidP="005510C6">
            <w:pPr>
              <w:jc w:val="center"/>
              <w:rPr>
                <w:sz w:val="18"/>
              </w:rPr>
            </w:pPr>
            <w:r w:rsidRPr="00597B3F">
              <w:rPr>
                <w:sz w:val="18"/>
              </w:rPr>
              <w:t>1.00</w:t>
            </w:r>
          </w:p>
        </w:tc>
      </w:tr>
      <w:tr w:rsidR="00597B3F" w:rsidRPr="00597B3F" w14:paraId="54802B8A" w14:textId="77777777" w:rsidTr="005510C6">
        <w:trPr>
          <w:trHeight w:val="300"/>
        </w:trPr>
        <w:tc>
          <w:tcPr>
            <w:tcW w:w="960" w:type="dxa"/>
            <w:noWrap/>
            <w:hideMark/>
          </w:tcPr>
          <w:p w14:paraId="46849015" w14:textId="77777777" w:rsidR="005510C6" w:rsidRPr="00597B3F" w:rsidRDefault="005510C6" w:rsidP="005510C6">
            <w:pPr>
              <w:jc w:val="center"/>
              <w:rPr>
                <w:sz w:val="18"/>
              </w:rPr>
            </w:pPr>
            <w:r w:rsidRPr="00597B3F">
              <w:rPr>
                <w:sz w:val="18"/>
              </w:rPr>
              <w:t>7</w:t>
            </w:r>
          </w:p>
        </w:tc>
        <w:tc>
          <w:tcPr>
            <w:tcW w:w="1157" w:type="dxa"/>
            <w:noWrap/>
            <w:hideMark/>
          </w:tcPr>
          <w:p w14:paraId="66985769" w14:textId="77777777" w:rsidR="005510C6" w:rsidRPr="00597B3F" w:rsidRDefault="005510C6" w:rsidP="005510C6">
            <w:pPr>
              <w:jc w:val="center"/>
              <w:rPr>
                <w:sz w:val="18"/>
              </w:rPr>
            </w:pPr>
            <w:r w:rsidRPr="00597B3F">
              <w:rPr>
                <w:sz w:val="18"/>
              </w:rPr>
              <w:t>4</w:t>
            </w:r>
          </w:p>
        </w:tc>
        <w:tc>
          <w:tcPr>
            <w:tcW w:w="1352" w:type="dxa"/>
            <w:noWrap/>
            <w:hideMark/>
          </w:tcPr>
          <w:p w14:paraId="7D5E328E" w14:textId="77777777" w:rsidR="005510C6" w:rsidRPr="00597B3F" w:rsidRDefault="005510C6" w:rsidP="005510C6">
            <w:pPr>
              <w:jc w:val="center"/>
              <w:rPr>
                <w:sz w:val="18"/>
              </w:rPr>
            </w:pPr>
            <w:r w:rsidRPr="00597B3F">
              <w:rPr>
                <w:sz w:val="18"/>
              </w:rPr>
              <w:t>0.92</w:t>
            </w:r>
          </w:p>
        </w:tc>
        <w:tc>
          <w:tcPr>
            <w:tcW w:w="1204" w:type="dxa"/>
            <w:noWrap/>
            <w:hideMark/>
          </w:tcPr>
          <w:p w14:paraId="21C66281" w14:textId="77777777" w:rsidR="005510C6" w:rsidRPr="00597B3F" w:rsidRDefault="005510C6" w:rsidP="005510C6">
            <w:pPr>
              <w:jc w:val="center"/>
              <w:rPr>
                <w:sz w:val="18"/>
              </w:rPr>
            </w:pPr>
            <w:r w:rsidRPr="00597B3F">
              <w:rPr>
                <w:sz w:val="18"/>
              </w:rPr>
              <w:t>5</w:t>
            </w:r>
          </w:p>
        </w:tc>
        <w:tc>
          <w:tcPr>
            <w:tcW w:w="1765" w:type="dxa"/>
            <w:noWrap/>
            <w:hideMark/>
          </w:tcPr>
          <w:p w14:paraId="52BDBE83" w14:textId="77777777" w:rsidR="005510C6" w:rsidRPr="00597B3F" w:rsidRDefault="005510C6" w:rsidP="005510C6">
            <w:pPr>
              <w:jc w:val="center"/>
              <w:rPr>
                <w:sz w:val="18"/>
              </w:rPr>
            </w:pPr>
            <w:r w:rsidRPr="00597B3F">
              <w:rPr>
                <w:sz w:val="18"/>
              </w:rPr>
              <w:t>0.94</w:t>
            </w:r>
          </w:p>
        </w:tc>
        <w:tc>
          <w:tcPr>
            <w:tcW w:w="1414" w:type="dxa"/>
            <w:noWrap/>
            <w:hideMark/>
          </w:tcPr>
          <w:p w14:paraId="544284A6" w14:textId="77777777" w:rsidR="005510C6" w:rsidRPr="00597B3F" w:rsidRDefault="005510C6" w:rsidP="005510C6">
            <w:pPr>
              <w:jc w:val="center"/>
              <w:rPr>
                <w:sz w:val="18"/>
              </w:rPr>
            </w:pPr>
            <w:r w:rsidRPr="00597B3F">
              <w:rPr>
                <w:sz w:val="18"/>
              </w:rPr>
              <w:t>5</w:t>
            </w:r>
          </w:p>
        </w:tc>
        <w:tc>
          <w:tcPr>
            <w:tcW w:w="1164" w:type="dxa"/>
            <w:noWrap/>
            <w:hideMark/>
          </w:tcPr>
          <w:p w14:paraId="16E7C513" w14:textId="77777777" w:rsidR="005510C6" w:rsidRPr="00597B3F" w:rsidRDefault="005510C6" w:rsidP="005510C6">
            <w:pPr>
              <w:jc w:val="center"/>
              <w:rPr>
                <w:sz w:val="18"/>
              </w:rPr>
            </w:pPr>
            <w:r w:rsidRPr="00597B3F">
              <w:rPr>
                <w:sz w:val="18"/>
              </w:rPr>
              <w:t>0.94</w:t>
            </w:r>
          </w:p>
        </w:tc>
      </w:tr>
      <w:tr w:rsidR="00597B3F" w:rsidRPr="00597B3F" w14:paraId="27C90DE3" w14:textId="77777777" w:rsidTr="005510C6">
        <w:trPr>
          <w:trHeight w:val="300"/>
        </w:trPr>
        <w:tc>
          <w:tcPr>
            <w:tcW w:w="960" w:type="dxa"/>
            <w:noWrap/>
            <w:hideMark/>
          </w:tcPr>
          <w:p w14:paraId="54132B77" w14:textId="77777777" w:rsidR="005510C6" w:rsidRPr="00597B3F" w:rsidRDefault="005510C6" w:rsidP="005510C6">
            <w:pPr>
              <w:jc w:val="center"/>
              <w:rPr>
                <w:sz w:val="18"/>
              </w:rPr>
            </w:pPr>
            <w:r w:rsidRPr="00597B3F">
              <w:rPr>
                <w:sz w:val="18"/>
              </w:rPr>
              <w:t>8</w:t>
            </w:r>
          </w:p>
        </w:tc>
        <w:tc>
          <w:tcPr>
            <w:tcW w:w="1157" w:type="dxa"/>
            <w:noWrap/>
            <w:hideMark/>
          </w:tcPr>
          <w:p w14:paraId="7E77685E" w14:textId="77777777" w:rsidR="005510C6" w:rsidRPr="00597B3F" w:rsidRDefault="005510C6" w:rsidP="005510C6">
            <w:pPr>
              <w:jc w:val="center"/>
              <w:rPr>
                <w:sz w:val="18"/>
              </w:rPr>
            </w:pPr>
            <w:r w:rsidRPr="00597B3F">
              <w:rPr>
                <w:sz w:val="18"/>
              </w:rPr>
              <w:t>7</w:t>
            </w:r>
          </w:p>
        </w:tc>
        <w:tc>
          <w:tcPr>
            <w:tcW w:w="1352" w:type="dxa"/>
            <w:noWrap/>
            <w:hideMark/>
          </w:tcPr>
          <w:p w14:paraId="45EBCCD1" w14:textId="77777777" w:rsidR="005510C6" w:rsidRPr="00597B3F" w:rsidRDefault="005510C6" w:rsidP="005510C6">
            <w:pPr>
              <w:jc w:val="center"/>
              <w:rPr>
                <w:sz w:val="18"/>
              </w:rPr>
            </w:pPr>
            <w:r w:rsidRPr="00597B3F">
              <w:rPr>
                <w:sz w:val="18"/>
              </w:rPr>
              <w:t>0.98</w:t>
            </w:r>
          </w:p>
        </w:tc>
        <w:tc>
          <w:tcPr>
            <w:tcW w:w="1204" w:type="dxa"/>
            <w:noWrap/>
            <w:hideMark/>
          </w:tcPr>
          <w:p w14:paraId="021D52B5" w14:textId="77777777" w:rsidR="005510C6" w:rsidRPr="00597B3F" w:rsidRDefault="005510C6" w:rsidP="005510C6">
            <w:pPr>
              <w:jc w:val="center"/>
              <w:rPr>
                <w:sz w:val="18"/>
              </w:rPr>
            </w:pPr>
            <w:r w:rsidRPr="00597B3F">
              <w:rPr>
                <w:sz w:val="18"/>
              </w:rPr>
              <w:t>8</w:t>
            </w:r>
          </w:p>
        </w:tc>
        <w:tc>
          <w:tcPr>
            <w:tcW w:w="1765" w:type="dxa"/>
            <w:noWrap/>
            <w:hideMark/>
          </w:tcPr>
          <w:p w14:paraId="39FAA8FE" w14:textId="77777777" w:rsidR="005510C6" w:rsidRPr="00597B3F" w:rsidRDefault="005510C6" w:rsidP="005510C6">
            <w:pPr>
              <w:jc w:val="center"/>
              <w:rPr>
                <w:sz w:val="18"/>
              </w:rPr>
            </w:pPr>
            <w:r w:rsidRPr="00597B3F">
              <w:rPr>
                <w:sz w:val="18"/>
              </w:rPr>
              <w:t>1.00</w:t>
            </w:r>
          </w:p>
        </w:tc>
        <w:tc>
          <w:tcPr>
            <w:tcW w:w="1414" w:type="dxa"/>
            <w:noWrap/>
            <w:hideMark/>
          </w:tcPr>
          <w:p w14:paraId="6031FDCD" w14:textId="77777777" w:rsidR="005510C6" w:rsidRPr="00597B3F" w:rsidRDefault="005510C6" w:rsidP="005510C6">
            <w:pPr>
              <w:jc w:val="center"/>
              <w:rPr>
                <w:sz w:val="18"/>
              </w:rPr>
            </w:pPr>
            <w:r w:rsidRPr="00597B3F">
              <w:rPr>
                <w:sz w:val="18"/>
              </w:rPr>
              <w:t>8</w:t>
            </w:r>
          </w:p>
        </w:tc>
        <w:tc>
          <w:tcPr>
            <w:tcW w:w="1164" w:type="dxa"/>
            <w:noWrap/>
            <w:hideMark/>
          </w:tcPr>
          <w:p w14:paraId="78E29708" w14:textId="77777777" w:rsidR="005510C6" w:rsidRPr="00597B3F" w:rsidRDefault="005510C6" w:rsidP="005510C6">
            <w:pPr>
              <w:jc w:val="center"/>
              <w:rPr>
                <w:sz w:val="18"/>
              </w:rPr>
            </w:pPr>
            <w:r w:rsidRPr="00597B3F">
              <w:rPr>
                <w:sz w:val="18"/>
              </w:rPr>
              <w:t>1.00</w:t>
            </w:r>
          </w:p>
        </w:tc>
      </w:tr>
      <w:tr w:rsidR="00597B3F" w:rsidRPr="00597B3F" w14:paraId="1A0992A5" w14:textId="77777777" w:rsidTr="005510C6">
        <w:trPr>
          <w:trHeight w:val="300"/>
        </w:trPr>
        <w:tc>
          <w:tcPr>
            <w:tcW w:w="960" w:type="dxa"/>
            <w:noWrap/>
            <w:hideMark/>
          </w:tcPr>
          <w:p w14:paraId="67267A3B" w14:textId="77777777" w:rsidR="005510C6" w:rsidRPr="00597B3F" w:rsidRDefault="005510C6" w:rsidP="005510C6">
            <w:pPr>
              <w:jc w:val="center"/>
              <w:rPr>
                <w:sz w:val="18"/>
              </w:rPr>
            </w:pPr>
            <w:r w:rsidRPr="00597B3F">
              <w:rPr>
                <w:sz w:val="18"/>
              </w:rPr>
              <w:t>9</w:t>
            </w:r>
          </w:p>
        </w:tc>
        <w:tc>
          <w:tcPr>
            <w:tcW w:w="1157" w:type="dxa"/>
            <w:noWrap/>
            <w:hideMark/>
          </w:tcPr>
          <w:p w14:paraId="4A2C0F30" w14:textId="77777777" w:rsidR="005510C6" w:rsidRPr="00597B3F" w:rsidRDefault="005510C6" w:rsidP="005510C6">
            <w:pPr>
              <w:jc w:val="center"/>
              <w:rPr>
                <w:sz w:val="18"/>
              </w:rPr>
            </w:pPr>
            <w:r w:rsidRPr="00597B3F">
              <w:rPr>
                <w:sz w:val="18"/>
              </w:rPr>
              <w:t>3</w:t>
            </w:r>
          </w:p>
        </w:tc>
        <w:tc>
          <w:tcPr>
            <w:tcW w:w="1352" w:type="dxa"/>
            <w:noWrap/>
            <w:hideMark/>
          </w:tcPr>
          <w:p w14:paraId="174F718B" w14:textId="77777777" w:rsidR="005510C6" w:rsidRPr="00597B3F" w:rsidRDefault="005510C6" w:rsidP="005510C6">
            <w:pPr>
              <w:jc w:val="center"/>
              <w:rPr>
                <w:sz w:val="18"/>
              </w:rPr>
            </w:pPr>
            <w:r w:rsidRPr="00597B3F">
              <w:rPr>
                <w:sz w:val="18"/>
              </w:rPr>
              <w:t>0.63</w:t>
            </w:r>
          </w:p>
        </w:tc>
        <w:tc>
          <w:tcPr>
            <w:tcW w:w="1204" w:type="dxa"/>
            <w:noWrap/>
            <w:hideMark/>
          </w:tcPr>
          <w:p w14:paraId="5DC39173" w14:textId="77777777" w:rsidR="005510C6" w:rsidRPr="00597B3F" w:rsidRDefault="005510C6" w:rsidP="005510C6">
            <w:pPr>
              <w:jc w:val="center"/>
              <w:rPr>
                <w:sz w:val="18"/>
              </w:rPr>
            </w:pPr>
            <w:r w:rsidRPr="00597B3F">
              <w:rPr>
                <w:sz w:val="18"/>
              </w:rPr>
              <w:t>5</w:t>
            </w:r>
          </w:p>
        </w:tc>
        <w:tc>
          <w:tcPr>
            <w:tcW w:w="1765" w:type="dxa"/>
            <w:noWrap/>
            <w:hideMark/>
          </w:tcPr>
          <w:p w14:paraId="32AFCC35" w14:textId="77777777" w:rsidR="005510C6" w:rsidRPr="00597B3F" w:rsidRDefault="005510C6" w:rsidP="005510C6">
            <w:pPr>
              <w:jc w:val="center"/>
              <w:rPr>
                <w:sz w:val="18"/>
              </w:rPr>
            </w:pPr>
            <w:r w:rsidRPr="00597B3F">
              <w:rPr>
                <w:sz w:val="18"/>
              </w:rPr>
              <w:t>0.70</w:t>
            </w:r>
          </w:p>
        </w:tc>
        <w:tc>
          <w:tcPr>
            <w:tcW w:w="1414" w:type="dxa"/>
            <w:noWrap/>
            <w:hideMark/>
          </w:tcPr>
          <w:p w14:paraId="1D39E885" w14:textId="77777777" w:rsidR="005510C6" w:rsidRPr="00597B3F" w:rsidRDefault="005510C6" w:rsidP="005510C6">
            <w:pPr>
              <w:jc w:val="center"/>
              <w:rPr>
                <w:sz w:val="18"/>
              </w:rPr>
            </w:pPr>
            <w:r w:rsidRPr="00597B3F">
              <w:rPr>
                <w:sz w:val="18"/>
              </w:rPr>
              <w:t>8</w:t>
            </w:r>
          </w:p>
        </w:tc>
        <w:tc>
          <w:tcPr>
            <w:tcW w:w="1164" w:type="dxa"/>
            <w:noWrap/>
            <w:hideMark/>
          </w:tcPr>
          <w:p w14:paraId="5199F2EF" w14:textId="77777777" w:rsidR="005510C6" w:rsidRPr="00597B3F" w:rsidRDefault="005510C6" w:rsidP="005510C6">
            <w:pPr>
              <w:jc w:val="center"/>
              <w:rPr>
                <w:sz w:val="18"/>
              </w:rPr>
            </w:pPr>
            <w:r w:rsidRPr="00597B3F">
              <w:rPr>
                <w:sz w:val="18"/>
              </w:rPr>
              <w:t>0.84</w:t>
            </w:r>
          </w:p>
        </w:tc>
      </w:tr>
      <w:tr w:rsidR="00597B3F" w:rsidRPr="00597B3F" w14:paraId="318DE3ED" w14:textId="77777777" w:rsidTr="005510C6">
        <w:trPr>
          <w:trHeight w:val="300"/>
        </w:trPr>
        <w:tc>
          <w:tcPr>
            <w:tcW w:w="960" w:type="dxa"/>
            <w:noWrap/>
            <w:hideMark/>
          </w:tcPr>
          <w:p w14:paraId="7C4B72EB" w14:textId="77777777" w:rsidR="005510C6" w:rsidRPr="00597B3F" w:rsidRDefault="005510C6" w:rsidP="005510C6">
            <w:pPr>
              <w:jc w:val="center"/>
              <w:rPr>
                <w:sz w:val="18"/>
              </w:rPr>
            </w:pPr>
            <w:r w:rsidRPr="00597B3F">
              <w:rPr>
                <w:sz w:val="18"/>
              </w:rPr>
              <w:t>10</w:t>
            </w:r>
          </w:p>
        </w:tc>
        <w:tc>
          <w:tcPr>
            <w:tcW w:w="1157" w:type="dxa"/>
            <w:noWrap/>
            <w:hideMark/>
          </w:tcPr>
          <w:p w14:paraId="75849D4D" w14:textId="77777777" w:rsidR="005510C6" w:rsidRPr="00597B3F" w:rsidRDefault="005510C6" w:rsidP="005510C6">
            <w:pPr>
              <w:jc w:val="center"/>
              <w:rPr>
                <w:sz w:val="18"/>
              </w:rPr>
            </w:pPr>
            <w:r w:rsidRPr="00597B3F">
              <w:rPr>
                <w:sz w:val="18"/>
              </w:rPr>
              <w:t>3</w:t>
            </w:r>
          </w:p>
        </w:tc>
        <w:tc>
          <w:tcPr>
            <w:tcW w:w="1352" w:type="dxa"/>
            <w:noWrap/>
            <w:hideMark/>
          </w:tcPr>
          <w:p w14:paraId="7B937D98" w14:textId="77777777" w:rsidR="005510C6" w:rsidRPr="00597B3F" w:rsidRDefault="005510C6" w:rsidP="005510C6">
            <w:pPr>
              <w:jc w:val="center"/>
              <w:rPr>
                <w:sz w:val="18"/>
              </w:rPr>
            </w:pPr>
            <w:r w:rsidRPr="00597B3F">
              <w:rPr>
                <w:sz w:val="18"/>
              </w:rPr>
              <w:t>0.64</w:t>
            </w:r>
          </w:p>
        </w:tc>
        <w:tc>
          <w:tcPr>
            <w:tcW w:w="1204" w:type="dxa"/>
            <w:noWrap/>
            <w:hideMark/>
          </w:tcPr>
          <w:p w14:paraId="64461C57" w14:textId="77777777" w:rsidR="005510C6" w:rsidRPr="00597B3F" w:rsidRDefault="005510C6" w:rsidP="005510C6">
            <w:pPr>
              <w:jc w:val="center"/>
              <w:rPr>
                <w:sz w:val="18"/>
              </w:rPr>
            </w:pPr>
            <w:r w:rsidRPr="00597B3F">
              <w:rPr>
                <w:sz w:val="18"/>
              </w:rPr>
              <w:t>6</w:t>
            </w:r>
          </w:p>
        </w:tc>
        <w:tc>
          <w:tcPr>
            <w:tcW w:w="1765" w:type="dxa"/>
            <w:noWrap/>
            <w:hideMark/>
          </w:tcPr>
          <w:p w14:paraId="70BA13A3" w14:textId="77777777" w:rsidR="005510C6" w:rsidRPr="00597B3F" w:rsidRDefault="005510C6" w:rsidP="005510C6">
            <w:pPr>
              <w:jc w:val="center"/>
              <w:rPr>
                <w:sz w:val="18"/>
              </w:rPr>
            </w:pPr>
            <w:r w:rsidRPr="00597B3F">
              <w:rPr>
                <w:sz w:val="18"/>
              </w:rPr>
              <w:t>0.97</w:t>
            </w:r>
          </w:p>
        </w:tc>
        <w:tc>
          <w:tcPr>
            <w:tcW w:w="1414" w:type="dxa"/>
            <w:noWrap/>
            <w:hideMark/>
          </w:tcPr>
          <w:p w14:paraId="2D9052D8" w14:textId="77777777" w:rsidR="005510C6" w:rsidRPr="00597B3F" w:rsidRDefault="005510C6" w:rsidP="005510C6">
            <w:pPr>
              <w:jc w:val="center"/>
              <w:rPr>
                <w:sz w:val="18"/>
              </w:rPr>
            </w:pPr>
            <w:r w:rsidRPr="00597B3F">
              <w:rPr>
                <w:sz w:val="18"/>
              </w:rPr>
              <w:t>6</w:t>
            </w:r>
          </w:p>
        </w:tc>
        <w:tc>
          <w:tcPr>
            <w:tcW w:w="1164" w:type="dxa"/>
            <w:noWrap/>
            <w:hideMark/>
          </w:tcPr>
          <w:p w14:paraId="14C70169" w14:textId="77777777" w:rsidR="005510C6" w:rsidRPr="00597B3F" w:rsidRDefault="005510C6" w:rsidP="005510C6">
            <w:pPr>
              <w:jc w:val="center"/>
              <w:rPr>
                <w:sz w:val="18"/>
              </w:rPr>
            </w:pPr>
            <w:r w:rsidRPr="00597B3F">
              <w:rPr>
                <w:sz w:val="18"/>
              </w:rPr>
              <w:t>0.97</w:t>
            </w:r>
          </w:p>
        </w:tc>
      </w:tr>
      <w:tr w:rsidR="00597B3F" w:rsidRPr="00597B3F" w14:paraId="28473170" w14:textId="77777777" w:rsidTr="005510C6">
        <w:trPr>
          <w:trHeight w:val="300"/>
        </w:trPr>
        <w:tc>
          <w:tcPr>
            <w:tcW w:w="960" w:type="dxa"/>
            <w:noWrap/>
            <w:hideMark/>
          </w:tcPr>
          <w:p w14:paraId="2B6DB937" w14:textId="77777777" w:rsidR="005510C6" w:rsidRPr="00597B3F" w:rsidRDefault="005510C6" w:rsidP="005510C6">
            <w:pPr>
              <w:jc w:val="center"/>
              <w:rPr>
                <w:sz w:val="18"/>
              </w:rPr>
            </w:pPr>
            <w:r w:rsidRPr="00597B3F">
              <w:rPr>
                <w:sz w:val="18"/>
              </w:rPr>
              <w:t>11</w:t>
            </w:r>
          </w:p>
        </w:tc>
        <w:tc>
          <w:tcPr>
            <w:tcW w:w="1157" w:type="dxa"/>
            <w:noWrap/>
            <w:hideMark/>
          </w:tcPr>
          <w:p w14:paraId="2B673CB6" w14:textId="77777777" w:rsidR="005510C6" w:rsidRPr="00597B3F" w:rsidRDefault="005510C6" w:rsidP="005510C6">
            <w:pPr>
              <w:jc w:val="center"/>
              <w:rPr>
                <w:sz w:val="18"/>
              </w:rPr>
            </w:pPr>
            <w:r w:rsidRPr="00597B3F">
              <w:rPr>
                <w:sz w:val="18"/>
              </w:rPr>
              <w:t>4</w:t>
            </w:r>
          </w:p>
        </w:tc>
        <w:tc>
          <w:tcPr>
            <w:tcW w:w="1352" w:type="dxa"/>
            <w:noWrap/>
            <w:hideMark/>
          </w:tcPr>
          <w:p w14:paraId="3290E1C4" w14:textId="77777777" w:rsidR="005510C6" w:rsidRPr="00597B3F" w:rsidRDefault="005510C6" w:rsidP="005510C6">
            <w:pPr>
              <w:jc w:val="center"/>
              <w:rPr>
                <w:sz w:val="18"/>
              </w:rPr>
            </w:pPr>
            <w:r w:rsidRPr="00597B3F">
              <w:rPr>
                <w:sz w:val="18"/>
              </w:rPr>
              <w:t>1.00</w:t>
            </w:r>
          </w:p>
        </w:tc>
        <w:tc>
          <w:tcPr>
            <w:tcW w:w="1204" w:type="dxa"/>
            <w:noWrap/>
            <w:hideMark/>
          </w:tcPr>
          <w:p w14:paraId="7B31F943" w14:textId="77777777" w:rsidR="005510C6" w:rsidRPr="00597B3F" w:rsidRDefault="005510C6" w:rsidP="005510C6">
            <w:pPr>
              <w:jc w:val="center"/>
              <w:rPr>
                <w:sz w:val="18"/>
              </w:rPr>
            </w:pPr>
            <w:r w:rsidRPr="00597B3F">
              <w:rPr>
                <w:sz w:val="18"/>
              </w:rPr>
              <w:t>4</w:t>
            </w:r>
          </w:p>
        </w:tc>
        <w:tc>
          <w:tcPr>
            <w:tcW w:w="1765" w:type="dxa"/>
            <w:noWrap/>
            <w:hideMark/>
          </w:tcPr>
          <w:p w14:paraId="4734701B" w14:textId="77777777" w:rsidR="005510C6" w:rsidRPr="00597B3F" w:rsidRDefault="005510C6" w:rsidP="005510C6">
            <w:pPr>
              <w:jc w:val="center"/>
              <w:rPr>
                <w:sz w:val="18"/>
              </w:rPr>
            </w:pPr>
            <w:r w:rsidRPr="00597B3F">
              <w:rPr>
                <w:sz w:val="18"/>
              </w:rPr>
              <w:t>1.00</w:t>
            </w:r>
          </w:p>
        </w:tc>
        <w:tc>
          <w:tcPr>
            <w:tcW w:w="1414" w:type="dxa"/>
            <w:noWrap/>
            <w:hideMark/>
          </w:tcPr>
          <w:p w14:paraId="41BDA3E2" w14:textId="77777777" w:rsidR="005510C6" w:rsidRPr="00597B3F" w:rsidRDefault="005510C6" w:rsidP="005510C6">
            <w:pPr>
              <w:jc w:val="center"/>
              <w:rPr>
                <w:sz w:val="18"/>
              </w:rPr>
            </w:pPr>
            <w:r w:rsidRPr="00597B3F">
              <w:rPr>
                <w:sz w:val="18"/>
              </w:rPr>
              <w:t>4</w:t>
            </w:r>
          </w:p>
        </w:tc>
        <w:tc>
          <w:tcPr>
            <w:tcW w:w="1164" w:type="dxa"/>
            <w:noWrap/>
            <w:hideMark/>
          </w:tcPr>
          <w:p w14:paraId="2344FA68" w14:textId="77777777" w:rsidR="005510C6" w:rsidRPr="00597B3F" w:rsidRDefault="005510C6" w:rsidP="005510C6">
            <w:pPr>
              <w:jc w:val="center"/>
              <w:rPr>
                <w:sz w:val="18"/>
              </w:rPr>
            </w:pPr>
            <w:r w:rsidRPr="00597B3F">
              <w:rPr>
                <w:sz w:val="18"/>
              </w:rPr>
              <w:t>1.00</w:t>
            </w:r>
          </w:p>
        </w:tc>
      </w:tr>
      <w:tr w:rsidR="00597B3F" w:rsidRPr="00597B3F" w14:paraId="66D61960" w14:textId="77777777" w:rsidTr="005510C6">
        <w:trPr>
          <w:trHeight w:val="300"/>
        </w:trPr>
        <w:tc>
          <w:tcPr>
            <w:tcW w:w="960" w:type="dxa"/>
            <w:noWrap/>
            <w:hideMark/>
          </w:tcPr>
          <w:p w14:paraId="4E405E5E" w14:textId="77777777" w:rsidR="005510C6" w:rsidRPr="00597B3F" w:rsidRDefault="005510C6" w:rsidP="005510C6">
            <w:pPr>
              <w:jc w:val="center"/>
              <w:rPr>
                <w:sz w:val="18"/>
              </w:rPr>
            </w:pPr>
            <w:r w:rsidRPr="00597B3F">
              <w:rPr>
                <w:sz w:val="18"/>
              </w:rPr>
              <w:t>12</w:t>
            </w:r>
          </w:p>
        </w:tc>
        <w:tc>
          <w:tcPr>
            <w:tcW w:w="1157" w:type="dxa"/>
            <w:noWrap/>
            <w:hideMark/>
          </w:tcPr>
          <w:p w14:paraId="16711D55" w14:textId="77777777" w:rsidR="005510C6" w:rsidRPr="00597B3F" w:rsidRDefault="005510C6" w:rsidP="005510C6">
            <w:pPr>
              <w:jc w:val="center"/>
              <w:rPr>
                <w:sz w:val="18"/>
              </w:rPr>
            </w:pPr>
            <w:r w:rsidRPr="00597B3F">
              <w:rPr>
                <w:sz w:val="18"/>
              </w:rPr>
              <w:t>3</w:t>
            </w:r>
          </w:p>
        </w:tc>
        <w:tc>
          <w:tcPr>
            <w:tcW w:w="1352" w:type="dxa"/>
            <w:noWrap/>
            <w:hideMark/>
          </w:tcPr>
          <w:p w14:paraId="0C7F0FE9" w14:textId="77777777" w:rsidR="005510C6" w:rsidRPr="00597B3F" w:rsidRDefault="005510C6" w:rsidP="005510C6">
            <w:pPr>
              <w:jc w:val="center"/>
              <w:rPr>
                <w:sz w:val="18"/>
              </w:rPr>
            </w:pPr>
            <w:r w:rsidRPr="00597B3F">
              <w:rPr>
                <w:sz w:val="18"/>
              </w:rPr>
              <w:t>0.62</w:t>
            </w:r>
          </w:p>
        </w:tc>
        <w:tc>
          <w:tcPr>
            <w:tcW w:w="1204" w:type="dxa"/>
            <w:noWrap/>
            <w:hideMark/>
          </w:tcPr>
          <w:p w14:paraId="019222CF" w14:textId="77777777" w:rsidR="005510C6" w:rsidRPr="00597B3F" w:rsidRDefault="005510C6" w:rsidP="005510C6">
            <w:pPr>
              <w:jc w:val="center"/>
              <w:rPr>
                <w:sz w:val="18"/>
              </w:rPr>
            </w:pPr>
            <w:r w:rsidRPr="00597B3F">
              <w:rPr>
                <w:sz w:val="18"/>
              </w:rPr>
              <w:t>6</w:t>
            </w:r>
          </w:p>
        </w:tc>
        <w:tc>
          <w:tcPr>
            <w:tcW w:w="1765" w:type="dxa"/>
            <w:noWrap/>
            <w:hideMark/>
          </w:tcPr>
          <w:p w14:paraId="5E4E0569" w14:textId="77777777" w:rsidR="005510C6" w:rsidRPr="00597B3F" w:rsidRDefault="005510C6" w:rsidP="005510C6">
            <w:pPr>
              <w:jc w:val="center"/>
              <w:rPr>
                <w:sz w:val="18"/>
              </w:rPr>
            </w:pPr>
            <w:r w:rsidRPr="00597B3F">
              <w:rPr>
                <w:sz w:val="18"/>
              </w:rPr>
              <w:t>0.88</w:t>
            </w:r>
          </w:p>
        </w:tc>
        <w:tc>
          <w:tcPr>
            <w:tcW w:w="1414" w:type="dxa"/>
            <w:noWrap/>
            <w:hideMark/>
          </w:tcPr>
          <w:p w14:paraId="72327F69" w14:textId="77777777" w:rsidR="005510C6" w:rsidRPr="00597B3F" w:rsidRDefault="005510C6" w:rsidP="005510C6">
            <w:pPr>
              <w:jc w:val="center"/>
              <w:rPr>
                <w:sz w:val="18"/>
              </w:rPr>
            </w:pPr>
            <w:r w:rsidRPr="00597B3F">
              <w:rPr>
                <w:sz w:val="18"/>
              </w:rPr>
              <w:t>8</w:t>
            </w:r>
          </w:p>
        </w:tc>
        <w:tc>
          <w:tcPr>
            <w:tcW w:w="1164" w:type="dxa"/>
            <w:noWrap/>
            <w:hideMark/>
          </w:tcPr>
          <w:p w14:paraId="164EC486" w14:textId="77777777" w:rsidR="005510C6" w:rsidRPr="00597B3F" w:rsidRDefault="005510C6" w:rsidP="005510C6">
            <w:pPr>
              <w:jc w:val="center"/>
              <w:rPr>
                <w:sz w:val="18"/>
              </w:rPr>
            </w:pPr>
            <w:r w:rsidRPr="00597B3F">
              <w:rPr>
                <w:sz w:val="18"/>
              </w:rPr>
              <w:t>0.98</w:t>
            </w:r>
          </w:p>
        </w:tc>
      </w:tr>
      <w:tr w:rsidR="00597B3F" w:rsidRPr="00597B3F" w14:paraId="540FDD79" w14:textId="77777777" w:rsidTr="005510C6">
        <w:trPr>
          <w:trHeight w:val="300"/>
        </w:trPr>
        <w:tc>
          <w:tcPr>
            <w:tcW w:w="960" w:type="dxa"/>
            <w:noWrap/>
            <w:hideMark/>
          </w:tcPr>
          <w:p w14:paraId="3E9869C4" w14:textId="77777777" w:rsidR="005510C6" w:rsidRPr="00597B3F" w:rsidRDefault="005510C6" w:rsidP="005510C6">
            <w:pPr>
              <w:jc w:val="center"/>
              <w:rPr>
                <w:sz w:val="18"/>
              </w:rPr>
            </w:pPr>
            <w:r w:rsidRPr="00597B3F">
              <w:rPr>
                <w:sz w:val="18"/>
              </w:rPr>
              <w:t>13</w:t>
            </w:r>
          </w:p>
        </w:tc>
        <w:tc>
          <w:tcPr>
            <w:tcW w:w="1157" w:type="dxa"/>
            <w:noWrap/>
            <w:hideMark/>
          </w:tcPr>
          <w:p w14:paraId="781E61A3" w14:textId="77777777" w:rsidR="005510C6" w:rsidRPr="00597B3F" w:rsidRDefault="005510C6" w:rsidP="005510C6">
            <w:pPr>
              <w:jc w:val="center"/>
              <w:rPr>
                <w:sz w:val="18"/>
              </w:rPr>
            </w:pPr>
            <w:r w:rsidRPr="00597B3F">
              <w:rPr>
                <w:sz w:val="18"/>
              </w:rPr>
              <w:t>8</w:t>
            </w:r>
          </w:p>
        </w:tc>
        <w:tc>
          <w:tcPr>
            <w:tcW w:w="1352" w:type="dxa"/>
            <w:noWrap/>
            <w:hideMark/>
          </w:tcPr>
          <w:p w14:paraId="40949776" w14:textId="77777777" w:rsidR="005510C6" w:rsidRPr="00597B3F" w:rsidRDefault="005510C6" w:rsidP="005510C6">
            <w:pPr>
              <w:jc w:val="center"/>
              <w:rPr>
                <w:sz w:val="18"/>
              </w:rPr>
            </w:pPr>
            <w:r w:rsidRPr="00597B3F">
              <w:rPr>
                <w:sz w:val="18"/>
              </w:rPr>
              <w:t>0.92</w:t>
            </w:r>
          </w:p>
        </w:tc>
        <w:tc>
          <w:tcPr>
            <w:tcW w:w="1204" w:type="dxa"/>
            <w:noWrap/>
            <w:hideMark/>
          </w:tcPr>
          <w:p w14:paraId="1F835D6A" w14:textId="77777777" w:rsidR="005510C6" w:rsidRPr="00597B3F" w:rsidRDefault="005510C6" w:rsidP="005510C6">
            <w:pPr>
              <w:jc w:val="center"/>
              <w:rPr>
                <w:sz w:val="18"/>
              </w:rPr>
            </w:pPr>
            <w:r w:rsidRPr="00597B3F">
              <w:rPr>
                <w:sz w:val="18"/>
              </w:rPr>
              <w:t>9</w:t>
            </w:r>
          </w:p>
        </w:tc>
        <w:tc>
          <w:tcPr>
            <w:tcW w:w="1765" w:type="dxa"/>
            <w:noWrap/>
            <w:hideMark/>
          </w:tcPr>
          <w:p w14:paraId="0DA3734B" w14:textId="77777777" w:rsidR="005510C6" w:rsidRPr="00597B3F" w:rsidRDefault="005510C6" w:rsidP="005510C6">
            <w:pPr>
              <w:jc w:val="center"/>
              <w:rPr>
                <w:sz w:val="18"/>
              </w:rPr>
            </w:pPr>
            <w:r w:rsidRPr="00597B3F">
              <w:rPr>
                <w:sz w:val="18"/>
              </w:rPr>
              <w:t>0.95</w:t>
            </w:r>
          </w:p>
        </w:tc>
        <w:tc>
          <w:tcPr>
            <w:tcW w:w="1414" w:type="dxa"/>
            <w:noWrap/>
            <w:hideMark/>
          </w:tcPr>
          <w:p w14:paraId="528AB82C" w14:textId="77777777" w:rsidR="005510C6" w:rsidRPr="00597B3F" w:rsidRDefault="005510C6" w:rsidP="005510C6">
            <w:pPr>
              <w:jc w:val="center"/>
              <w:rPr>
                <w:sz w:val="18"/>
              </w:rPr>
            </w:pPr>
            <w:r w:rsidRPr="00597B3F">
              <w:rPr>
                <w:sz w:val="18"/>
              </w:rPr>
              <w:t>12</w:t>
            </w:r>
          </w:p>
        </w:tc>
        <w:tc>
          <w:tcPr>
            <w:tcW w:w="1164" w:type="dxa"/>
            <w:noWrap/>
            <w:hideMark/>
          </w:tcPr>
          <w:p w14:paraId="2EC8451B" w14:textId="77777777" w:rsidR="005510C6" w:rsidRPr="00597B3F" w:rsidRDefault="005510C6" w:rsidP="005510C6">
            <w:pPr>
              <w:jc w:val="center"/>
              <w:rPr>
                <w:sz w:val="18"/>
              </w:rPr>
            </w:pPr>
            <w:r w:rsidRPr="00597B3F">
              <w:rPr>
                <w:sz w:val="18"/>
              </w:rPr>
              <w:t>1.00</w:t>
            </w:r>
          </w:p>
        </w:tc>
      </w:tr>
      <w:tr w:rsidR="00597B3F" w:rsidRPr="00597B3F" w14:paraId="6C5F99A8" w14:textId="77777777" w:rsidTr="005510C6">
        <w:trPr>
          <w:trHeight w:val="300"/>
        </w:trPr>
        <w:tc>
          <w:tcPr>
            <w:tcW w:w="960" w:type="dxa"/>
            <w:noWrap/>
            <w:hideMark/>
          </w:tcPr>
          <w:p w14:paraId="7FB03B6D" w14:textId="77777777" w:rsidR="005510C6" w:rsidRPr="00597B3F" w:rsidRDefault="005510C6" w:rsidP="005510C6">
            <w:pPr>
              <w:jc w:val="center"/>
              <w:rPr>
                <w:sz w:val="18"/>
              </w:rPr>
            </w:pPr>
            <w:r w:rsidRPr="00597B3F">
              <w:rPr>
                <w:sz w:val="18"/>
              </w:rPr>
              <w:t>14</w:t>
            </w:r>
          </w:p>
        </w:tc>
        <w:tc>
          <w:tcPr>
            <w:tcW w:w="1157" w:type="dxa"/>
            <w:noWrap/>
            <w:hideMark/>
          </w:tcPr>
          <w:p w14:paraId="26E4C7F3" w14:textId="77777777" w:rsidR="005510C6" w:rsidRPr="00597B3F" w:rsidRDefault="005510C6" w:rsidP="005510C6">
            <w:pPr>
              <w:jc w:val="center"/>
              <w:rPr>
                <w:sz w:val="18"/>
              </w:rPr>
            </w:pPr>
            <w:r w:rsidRPr="00597B3F">
              <w:rPr>
                <w:sz w:val="18"/>
              </w:rPr>
              <w:t>4</w:t>
            </w:r>
          </w:p>
        </w:tc>
        <w:tc>
          <w:tcPr>
            <w:tcW w:w="1352" w:type="dxa"/>
            <w:noWrap/>
            <w:hideMark/>
          </w:tcPr>
          <w:p w14:paraId="31D778CA" w14:textId="77777777" w:rsidR="005510C6" w:rsidRPr="00597B3F" w:rsidRDefault="005510C6" w:rsidP="005510C6">
            <w:pPr>
              <w:jc w:val="center"/>
              <w:rPr>
                <w:sz w:val="18"/>
              </w:rPr>
            </w:pPr>
            <w:r w:rsidRPr="00597B3F">
              <w:rPr>
                <w:sz w:val="18"/>
              </w:rPr>
              <w:t>0.75</w:t>
            </w:r>
          </w:p>
        </w:tc>
        <w:tc>
          <w:tcPr>
            <w:tcW w:w="1204" w:type="dxa"/>
            <w:noWrap/>
            <w:hideMark/>
          </w:tcPr>
          <w:p w14:paraId="3241AA1C" w14:textId="77777777" w:rsidR="005510C6" w:rsidRPr="00597B3F" w:rsidRDefault="005510C6" w:rsidP="005510C6">
            <w:pPr>
              <w:jc w:val="center"/>
              <w:rPr>
                <w:sz w:val="18"/>
              </w:rPr>
            </w:pPr>
            <w:r w:rsidRPr="00597B3F">
              <w:rPr>
                <w:sz w:val="18"/>
              </w:rPr>
              <w:t>5</w:t>
            </w:r>
          </w:p>
        </w:tc>
        <w:tc>
          <w:tcPr>
            <w:tcW w:w="1765" w:type="dxa"/>
            <w:noWrap/>
            <w:hideMark/>
          </w:tcPr>
          <w:p w14:paraId="1C27CE03" w14:textId="77777777" w:rsidR="005510C6" w:rsidRPr="00597B3F" w:rsidRDefault="005510C6" w:rsidP="005510C6">
            <w:pPr>
              <w:jc w:val="center"/>
              <w:rPr>
                <w:sz w:val="18"/>
              </w:rPr>
            </w:pPr>
            <w:r w:rsidRPr="00597B3F">
              <w:rPr>
                <w:sz w:val="18"/>
              </w:rPr>
              <w:t>0.80</w:t>
            </w:r>
          </w:p>
        </w:tc>
        <w:tc>
          <w:tcPr>
            <w:tcW w:w="1414" w:type="dxa"/>
            <w:noWrap/>
            <w:hideMark/>
          </w:tcPr>
          <w:p w14:paraId="3E171AC3" w14:textId="77777777" w:rsidR="005510C6" w:rsidRPr="00597B3F" w:rsidRDefault="005510C6" w:rsidP="005510C6">
            <w:pPr>
              <w:jc w:val="center"/>
              <w:rPr>
                <w:sz w:val="18"/>
              </w:rPr>
            </w:pPr>
            <w:r w:rsidRPr="00597B3F">
              <w:rPr>
                <w:sz w:val="18"/>
              </w:rPr>
              <w:t>8</w:t>
            </w:r>
          </w:p>
        </w:tc>
        <w:tc>
          <w:tcPr>
            <w:tcW w:w="1164" w:type="dxa"/>
            <w:noWrap/>
            <w:hideMark/>
          </w:tcPr>
          <w:p w14:paraId="176A843B" w14:textId="77777777" w:rsidR="005510C6" w:rsidRPr="00597B3F" w:rsidRDefault="005510C6" w:rsidP="005510C6">
            <w:pPr>
              <w:jc w:val="center"/>
              <w:rPr>
                <w:sz w:val="18"/>
              </w:rPr>
            </w:pPr>
            <w:r w:rsidRPr="00597B3F">
              <w:rPr>
                <w:sz w:val="18"/>
              </w:rPr>
              <w:t>0.86</w:t>
            </w:r>
          </w:p>
        </w:tc>
      </w:tr>
      <w:tr w:rsidR="00915746" w:rsidRPr="00597B3F" w14:paraId="011211AE" w14:textId="77777777" w:rsidTr="005510C6">
        <w:trPr>
          <w:trHeight w:val="300"/>
        </w:trPr>
        <w:tc>
          <w:tcPr>
            <w:tcW w:w="960" w:type="dxa"/>
            <w:noWrap/>
            <w:hideMark/>
          </w:tcPr>
          <w:p w14:paraId="2A96B426" w14:textId="77777777" w:rsidR="005510C6" w:rsidRPr="00597B3F" w:rsidRDefault="005510C6" w:rsidP="005510C6">
            <w:pPr>
              <w:jc w:val="center"/>
              <w:rPr>
                <w:sz w:val="18"/>
              </w:rPr>
            </w:pPr>
            <w:r w:rsidRPr="00597B3F">
              <w:rPr>
                <w:sz w:val="18"/>
              </w:rPr>
              <w:t>15</w:t>
            </w:r>
          </w:p>
        </w:tc>
        <w:tc>
          <w:tcPr>
            <w:tcW w:w="1157" w:type="dxa"/>
            <w:noWrap/>
            <w:hideMark/>
          </w:tcPr>
          <w:p w14:paraId="7289E1DB" w14:textId="77777777" w:rsidR="005510C6" w:rsidRPr="00597B3F" w:rsidRDefault="005510C6" w:rsidP="005510C6">
            <w:pPr>
              <w:jc w:val="center"/>
              <w:rPr>
                <w:sz w:val="18"/>
              </w:rPr>
            </w:pPr>
            <w:r w:rsidRPr="00597B3F">
              <w:rPr>
                <w:sz w:val="18"/>
              </w:rPr>
              <w:t>5</w:t>
            </w:r>
          </w:p>
        </w:tc>
        <w:tc>
          <w:tcPr>
            <w:tcW w:w="1352" w:type="dxa"/>
            <w:noWrap/>
            <w:hideMark/>
          </w:tcPr>
          <w:p w14:paraId="2EAA7669" w14:textId="77777777" w:rsidR="005510C6" w:rsidRPr="00597B3F" w:rsidRDefault="005510C6" w:rsidP="005510C6">
            <w:pPr>
              <w:jc w:val="center"/>
              <w:rPr>
                <w:sz w:val="18"/>
              </w:rPr>
            </w:pPr>
            <w:r w:rsidRPr="00597B3F">
              <w:rPr>
                <w:sz w:val="18"/>
              </w:rPr>
              <w:t>0.92</w:t>
            </w:r>
          </w:p>
        </w:tc>
        <w:tc>
          <w:tcPr>
            <w:tcW w:w="1204" w:type="dxa"/>
            <w:noWrap/>
            <w:hideMark/>
          </w:tcPr>
          <w:p w14:paraId="5C8D6AB1" w14:textId="77777777" w:rsidR="005510C6" w:rsidRPr="00597B3F" w:rsidRDefault="005510C6" w:rsidP="005510C6">
            <w:pPr>
              <w:jc w:val="center"/>
              <w:rPr>
                <w:sz w:val="18"/>
              </w:rPr>
            </w:pPr>
            <w:r w:rsidRPr="00597B3F">
              <w:rPr>
                <w:sz w:val="18"/>
              </w:rPr>
              <w:t>5</w:t>
            </w:r>
          </w:p>
        </w:tc>
        <w:tc>
          <w:tcPr>
            <w:tcW w:w="1765" w:type="dxa"/>
            <w:noWrap/>
            <w:hideMark/>
          </w:tcPr>
          <w:p w14:paraId="3842EC42" w14:textId="77777777" w:rsidR="005510C6" w:rsidRPr="00597B3F" w:rsidRDefault="005510C6" w:rsidP="005510C6">
            <w:pPr>
              <w:jc w:val="center"/>
              <w:rPr>
                <w:sz w:val="18"/>
              </w:rPr>
            </w:pPr>
            <w:r w:rsidRPr="00597B3F">
              <w:rPr>
                <w:sz w:val="18"/>
              </w:rPr>
              <w:t>0.92</w:t>
            </w:r>
          </w:p>
        </w:tc>
        <w:tc>
          <w:tcPr>
            <w:tcW w:w="1414" w:type="dxa"/>
            <w:noWrap/>
            <w:hideMark/>
          </w:tcPr>
          <w:p w14:paraId="7A6E5F4A" w14:textId="77777777" w:rsidR="005510C6" w:rsidRPr="00597B3F" w:rsidRDefault="005510C6" w:rsidP="005510C6">
            <w:pPr>
              <w:jc w:val="center"/>
              <w:rPr>
                <w:sz w:val="18"/>
              </w:rPr>
            </w:pPr>
            <w:r w:rsidRPr="00597B3F">
              <w:rPr>
                <w:sz w:val="18"/>
              </w:rPr>
              <w:t>6</w:t>
            </w:r>
          </w:p>
        </w:tc>
        <w:tc>
          <w:tcPr>
            <w:tcW w:w="1164" w:type="dxa"/>
            <w:noWrap/>
            <w:hideMark/>
          </w:tcPr>
          <w:p w14:paraId="774A8660" w14:textId="77777777" w:rsidR="005510C6" w:rsidRPr="00597B3F" w:rsidRDefault="005510C6" w:rsidP="005510C6">
            <w:pPr>
              <w:jc w:val="center"/>
              <w:rPr>
                <w:sz w:val="18"/>
              </w:rPr>
            </w:pPr>
            <w:r w:rsidRPr="00597B3F">
              <w:rPr>
                <w:sz w:val="18"/>
              </w:rPr>
              <w:t>1.00</w:t>
            </w:r>
          </w:p>
        </w:tc>
      </w:tr>
    </w:tbl>
    <w:p w14:paraId="5D23F912" w14:textId="77777777" w:rsidR="00AC4B79" w:rsidRPr="00597B3F" w:rsidRDefault="00AC4B79" w:rsidP="00AC4B79"/>
    <w:p w14:paraId="30BC3DDB" w14:textId="77777777" w:rsidR="00AC4B79" w:rsidRPr="00597B3F" w:rsidRDefault="00AC4B79" w:rsidP="00AC4B79"/>
    <w:p w14:paraId="409DBAFF" w14:textId="77777777" w:rsidR="00AC4B79" w:rsidRPr="00597B3F" w:rsidRDefault="00AC4B79" w:rsidP="00AC4B79"/>
    <w:p w14:paraId="7E1BAA91" w14:textId="77777777" w:rsidR="00AC4B79" w:rsidRDefault="00AC4B79" w:rsidP="00AC4B79"/>
    <w:p w14:paraId="1C3D214D" w14:textId="77777777" w:rsidR="00C677CB" w:rsidRPr="00597B3F" w:rsidRDefault="00C677CB" w:rsidP="00AC4B79"/>
    <w:p w14:paraId="066B6607" w14:textId="77777777" w:rsidR="00AC4B79" w:rsidRPr="00597B3F" w:rsidRDefault="00AC4B79" w:rsidP="00AC4B79"/>
    <w:p w14:paraId="6135DD01" w14:textId="77777777" w:rsidR="00AC4B79" w:rsidRPr="00597B3F" w:rsidRDefault="00AC4B79" w:rsidP="00AC4B79"/>
    <w:p w14:paraId="51F8F531" w14:textId="72405F2F" w:rsidR="00AC4B79" w:rsidRPr="00597B3F" w:rsidRDefault="00AC4B79" w:rsidP="00AC4B79">
      <w:pPr>
        <w:pStyle w:val="Caption"/>
        <w:keepNext/>
        <w:rPr>
          <w:color w:val="auto"/>
          <w:sz w:val="22"/>
        </w:rPr>
      </w:pPr>
      <w:r w:rsidRPr="00597B3F">
        <w:rPr>
          <w:b/>
          <w:color w:val="auto"/>
          <w:sz w:val="22"/>
        </w:rPr>
        <w:lastRenderedPageBreak/>
        <w:t xml:space="preserve">Table </w:t>
      </w:r>
      <w:r w:rsidR="003D0F26" w:rsidRPr="00597B3F">
        <w:rPr>
          <w:b/>
          <w:color w:val="auto"/>
          <w:sz w:val="22"/>
        </w:rPr>
        <w:t>4</w:t>
      </w:r>
      <w:r w:rsidRPr="00597B3F">
        <w:rPr>
          <w:b/>
          <w:color w:val="auto"/>
          <w:sz w:val="22"/>
        </w:rPr>
        <w:t>.</w:t>
      </w:r>
      <w:r w:rsidRPr="00597B3F">
        <w:rPr>
          <w:color w:val="auto"/>
          <w:sz w:val="22"/>
        </w:rPr>
        <w:t xml:space="preserve"> Sources of wood trait values for species which could not be sampled in the field.</w:t>
      </w:r>
    </w:p>
    <w:tbl>
      <w:tblPr>
        <w:tblW w:w="5949" w:type="dxa"/>
        <w:tblLook w:val="04A0" w:firstRow="1" w:lastRow="0" w:firstColumn="1" w:lastColumn="0" w:noHBand="0" w:noVBand="1"/>
      </w:tblPr>
      <w:tblGrid>
        <w:gridCol w:w="3120"/>
        <w:gridCol w:w="2829"/>
      </w:tblGrid>
      <w:tr w:rsidR="00597B3F" w:rsidRPr="00597B3F" w14:paraId="152FAEBA" w14:textId="77777777" w:rsidTr="00AC4B79">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70713" w14:textId="77777777" w:rsidR="00AC4B79" w:rsidRPr="00597B3F" w:rsidRDefault="00AC4B79" w:rsidP="003D0F26">
            <w:pPr>
              <w:spacing w:line="276" w:lineRule="auto"/>
              <w:jc w:val="center"/>
              <w:rPr>
                <w:sz w:val="20"/>
              </w:rPr>
            </w:pPr>
            <w:r w:rsidRPr="00597B3F">
              <w:rPr>
                <w:sz w:val="20"/>
              </w:rPr>
              <w:t>Species</w:t>
            </w:r>
          </w:p>
        </w:tc>
        <w:tc>
          <w:tcPr>
            <w:tcW w:w="2829" w:type="dxa"/>
            <w:tcBorders>
              <w:top w:val="single" w:sz="4" w:space="0" w:color="auto"/>
              <w:left w:val="nil"/>
              <w:bottom w:val="single" w:sz="4" w:space="0" w:color="auto"/>
              <w:right w:val="single" w:sz="4" w:space="0" w:color="auto"/>
            </w:tcBorders>
            <w:shd w:val="clear" w:color="auto" w:fill="auto"/>
            <w:noWrap/>
            <w:vAlign w:val="bottom"/>
            <w:hideMark/>
          </w:tcPr>
          <w:p w14:paraId="36772E15" w14:textId="6455DC3E" w:rsidR="00AC4B79" w:rsidRPr="00597B3F" w:rsidRDefault="00AC4B79" w:rsidP="003D0F26">
            <w:pPr>
              <w:spacing w:line="276" w:lineRule="auto"/>
              <w:jc w:val="center"/>
              <w:rPr>
                <w:sz w:val="20"/>
              </w:rPr>
            </w:pPr>
            <w:r w:rsidRPr="00597B3F">
              <w:rPr>
                <w:sz w:val="20"/>
              </w:rPr>
              <w:t>Source of wood density value</w:t>
            </w:r>
          </w:p>
        </w:tc>
      </w:tr>
      <w:tr w:rsidR="00597B3F" w:rsidRPr="00597B3F" w14:paraId="0EF554B3"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614ED9E7" w14:textId="77777777" w:rsidR="00AC4B79" w:rsidRPr="00597B3F" w:rsidRDefault="00AC4B79" w:rsidP="00AC4B79">
            <w:pPr>
              <w:spacing w:line="276" w:lineRule="auto"/>
              <w:rPr>
                <w:i/>
                <w:sz w:val="16"/>
              </w:rPr>
            </w:pPr>
            <w:proofErr w:type="spellStart"/>
            <w:r w:rsidRPr="00597B3F">
              <w:rPr>
                <w:i/>
                <w:sz w:val="16"/>
              </w:rPr>
              <w:t>Guioa</w:t>
            </w:r>
            <w:proofErr w:type="spellEnd"/>
            <w:r w:rsidRPr="00597B3F">
              <w:rPr>
                <w:i/>
                <w:sz w:val="16"/>
              </w:rPr>
              <w:t xml:space="preserve"> </w:t>
            </w:r>
            <w:proofErr w:type="spellStart"/>
            <w:r w:rsidRPr="00597B3F">
              <w:rPr>
                <w:i/>
                <w:sz w:val="16"/>
              </w:rPr>
              <w:t>semiglauca</w:t>
            </w:r>
            <w:proofErr w:type="spellEnd"/>
          </w:p>
        </w:tc>
        <w:tc>
          <w:tcPr>
            <w:tcW w:w="2829" w:type="dxa"/>
            <w:tcBorders>
              <w:top w:val="nil"/>
              <w:left w:val="nil"/>
              <w:bottom w:val="nil"/>
              <w:right w:val="single" w:sz="4" w:space="0" w:color="auto"/>
            </w:tcBorders>
            <w:shd w:val="clear" w:color="auto" w:fill="auto"/>
            <w:noWrap/>
            <w:vAlign w:val="bottom"/>
            <w:hideMark/>
          </w:tcPr>
          <w:p w14:paraId="290A65EF" w14:textId="11D9742E" w:rsidR="00AC4B79" w:rsidRPr="00597B3F" w:rsidRDefault="00AC4B79" w:rsidP="00060A29">
            <w:pPr>
              <w:spacing w:line="276" w:lineRule="auto"/>
              <w:rPr>
                <w:sz w:val="16"/>
              </w:rPr>
            </w:pPr>
            <w:r w:rsidRPr="00597B3F">
              <w:rPr>
                <w:sz w:val="16"/>
              </w:rPr>
              <w:fldChar w:fldCharType="begin" w:fldLock="1"/>
            </w:r>
            <w:r w:rsidR="00A10EF6" w:rsidRPr="00597B3F">
              <w:rPr>
                <w:sz w:val="16"/>
              </w:rPr>
              <w:instrText>ADDIN CSL_CITATION { "citationItems" : [ { "id" : "ITEM-1", "itemData" : { "DOI" : "10.1093/aob/mcp185", "ISBN" : "0305-7364", "ISSN" : "03057364", "PMID" : "19635742", "abstract" : "BACKGROUND AND AIMS: Height gain plays an important role in plant life-history strategies and species coexistence. Here main-stem costs of height gain of saplings across species within a rainforest community are compared. METHODS: Scaling relationships of height to diameter at the sapling stage were compared among 75 woody rainforest plant species in subtropical eastern Australia using standardized major axis regression. Main-stem costs of height gain were then related to other functional traits that reflect aspects of species ecological strategies. KEY RESULTS: Slopes (beta) for the height-diameter (H-D) scaling relationship were close to 1.3, in line with previous reports and with theory. Main-stem volume to achieve 5 m in height varied substantially between species, including between species within groups based on adult height and successional status. The variation was largely independent of other species traits, being uncorrelated with mature plant height (H(max)) and with leaf size, and weakly negatively correlated with wood density and seed size. The relationship between volume to reach 5 m and wood density was too weak to be regarded as a trade-off. Estimated main-stem dry mass to achieve 5 m height varied almost three-fold across species, with wood density and stem volume contributing roughly equally to the variation. CONCLUSION: The wide range in economy of sapling height gain reported here is presumed to be associated with a trade-off between faster growth and higher mortality rates. It is suggested that wide diameters would have a stronger effect in preventing main-stem breakage in the short term, while high wood density would have a stronger effect in sustaining stem strength over time.", "author" : [ { "dropping-particle" : "", "family" : "Kooyman", "given" : "Robert M.", "non-dropping-particle" : "", "parse-names" : false, "suffix" : "" }, { "dropping-particle" : "", "family" : "Westoby", "given" : "Mark", "non-dropping-particle" : "", "parse-names" : false, "suffix" : "" } ], "container-title" : "Annals of Botany", "id" : "ITEM-1", "issued" : { "date-parts" : [ [ "2009" ] ] }, "page" : "987-993", "title" : "Costs of height gain in rainforest saplings: Main-stem scaling, functional traits and strategy variation across 75 species", "type" : "article-journal", "volume" : "104" }, "uris" : [ "http://www.mendeley.com/documents/?uuid=6690233f-b66a-4f74-83ea-50b49d64a02f" ] } ], "mendeley" : { "formattedCitation" : "(Kooyman &amp; Westoby 2009)", "manualFormatting" : "Kooyman &amp; Westoby (2009", "plainTextFormattedCitation" : "(Kooyman &amp; Westoby 2009)", "previouslyFormattedCitation" : "(Kooyman &amp; Westoby 2009)" }, "properties" : { "noteIndex" : 0 }, "schema" : "https://github.com/citation-style-language/schema/raw/master/csl-citation.json" }</w:instrText>
            </w:r>
            <w:r w:rsidRPr="00597B3F">
              <w:rPr>
                <w:sz w:val="16"/>
              </w:rPr>
              <w:fldChar w:fldCharType="separate"/>
            </w:r>
            <w:r w:rsidR="00060A29" w:rsidRPr="00597B3F">
              <w:rPr>
                <w:noProof/>
                <w:sz w:val="16"/>
              </w:rPr>
              <w:t>Kooyman &amp; Westoby</w:t>
            </w:r>
            <w:r w:rsidRPr="00597B3F">
              <w:rPr>
                <w:noProof/>
                <w:sz w:val="16"/>
              </w:rPr>
              <w:t xml:space="preserve"> </w:t>
            </w:r>
            <w:r w:rsidR="00060A29" w:rsidRPr="00597B3F">
              <w:rPr>
                <w:noProof/>
                <w:sz w:val="16"/>
              </w:rPr>
              <w:t>(</w:t>
            </w:r>
            <w:r w:rsidRPr="00597B3F">
              <w:rPr>
                <w:noProof/>
                <w:sz w:val="16"/>
              </w:rPr>
              <w:t>2009</w:t>
            </w:r>
            <w:r w:rsidRPr="00597B3F">
              <w:rPr>
                <w:sz w:val="16"/>
              </w:rPr>
              <w:fldChar w:fldCharType="end"/>
            </w:r>
            <w:r w:rsidR="00060A29" w:rsidRPr="00597B3F">
              <w:rPr>
                <w:sz w:val="16"/>
              </w:rPr>
              <w:t>)</w:t>
            </w:r>
          </w:p>
        </w:tc>
      </w:tr>
      <w:tr w:rsidR="00597B3F" w:rsidRPr="00597B3F" w14:paraId="22F9B311"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74BF0674" w14:textId="77777777" w:rsidR="00AC4B79" w:rsidRPr="00597B3F" w:rsidRDefault="00AC4B79" w:rsidP="00AC4B79">
            <w:pPr>
              <w:spacing w:line="276" w:lineRule="auto"/>
              <w:rPr>
                <w:i/>
                <w:sz w:val="16"/>
              </w:rPr>
            </w:pPr>
            <w:r w:rsidRPr="00597B3F">
              <w:rPr>
                <w:i/>
                <w:sz w:val="16"/>
              </w:rPr>
              <w:t xml:space="preserve">Pittosporum </w:t>
            </w:r>
            <w:proofErr w:type="spellStart"/>
            <w:r w:rsidRPr="00597B3F">
              <w:rPr>
                <w:i/>
                <w:sz w:val="16"/>
              </w:rPr>
              <w:t>spinescens</w:t>
            </w:r>
            <w:proofErr w:type="spellEnd"/>
          </w:p>
        </w:tc>
        <w:tc>
          <w:tcPr>
            <w:tcW w:w="2829" w:type="dxa"/>
            <w:tcBorders>
              <w:top w:val="nil"/>
              <w:left w:val="nil"/>
              <w:bottom w:val="nil"/>
              <w:right w:val="single" w:sz="4" w:space="0" w:color="auto"/>
            </w:tcBorders>
            <w:shd w:val="clear" w:color="auto" w:fill="auto"/>
            <w:noWrap/>
            <w:vAlign w:val="bottom"/>
            <w:hideMark/>
          </w:tcPr>
          <w:p w14:paraId="5F678F84" w14:textId="57934ED7" w:rsidR="00AC4B79" w:rsidRPr="00597B3F" w:rsidRDefault="00060A29" w:rsidP="00060A29">
            <w:pPr>
              <w:spacing w:line="276" w:lineRule="auto"/>
              <w:rPr>
                <w:sz w:val="16"/>
              </w:rPr>
            </w:pPr>
            <w:r w:rsidRPr="00597B3F">
              <w:rPr>
                <w:sz w:val="16"/>
              </w:rPr>
              <w:fldChar w:fldCharType="begin" w:fldLock="1"/>
            </w:r>
            <w:r w:rsidR="00A10EF6" w:rsidRPr="00597B3F">
              <w:rPr>
                <w:sz w:val="16"/>
              </w:rPr>
              <w:instrText>ADDIN CSL_CITATION { "citationItems" : [ { "id" : "ITEM-1", "itemData" : { "author" : [ { "dropping-particle" : "", "family" : "Stuart", "given" : "Stephanie Alexandra", "non-dropping-particle" : "", "parse-names" : false, "suffix" : "" } ], "id" : "ITEM-1", "issued" : { "date-parts" : [ [ "2011" ] ] }, "title" : "Cold Comfort: Diversification and Adaptive Evolution across Latitudinal Gradients", "type" : "thesis" }, "uris" : [ "http://www.mendeley.com/documents/?uuid=36a0042f-5582-4db5-a58d-2ac8b0a8a6f8" ] } ], "mendeley" : { "formattedCitation" : "(Stuart 2011)", "manualFormatting" : "Stuart (2011)", "plainTextFormattedCitation" : "(Stuart 2011)", "previouslyFormattedCitation" : "(Stuart 2011)" }, "properties" : { "noteIndex" : 0 }, "schema" : "https://github.com/citation-style-language/schema/raw/master/csl-citation.json" }</w:instrText>
            </w:r>
            <w:r w:rsidRPr="00597B3F">
              <w:rPr>
                <w:sz w:val="16"/>
              </w:rPr>
              <w:fldChar w:fldCharType="separate"/>
            </w:r>
            <w:r w:rsidR="00A10EF6" w:rsidRPr="00597B3F">
              <w:rPr>
                <w:noProof/>
                <w:sz w:val="16"/>
              </w:rPr>
              <w:t>Stuart</w:t>
            </w:r>
            <w:r w:rsidRPr="00597B3F">
              <w:rPr>
                <w:noProof/>
                <w:sz w:val="16"/>
              </w:rPr>
              <w:t xml:space="preserve"> </w:t>
            </w:r>
            <w:r w:rsidR="00A10EF6" w:rsidRPr="00597B3F">
              <w:rPr>
                <w:noProof/>
                <w:sz w:val="16"/>
              </w:rPr>
              <w:t>(</w:t>
            </w:r>
            <w:r w:rsidRPr="00597B3F">
              <w:rPr>
                <w:noProof/>
                <w:sz w:val="16"/>
              </w:rPr>
              <w:t>2011)</w:t>
            </w:r>
            <w:r w:rsidRPr="00597B3F">
              <w:rPr>
                <w:sz w:val="16"/>
              </w:rPr>
              <w:fldChar w:fldCharType="end"/>
            </w:r>
          </w:p>
        </w:tc>
      </w:tr>
      <w:tr w:rsidR="00597B3F" w:rsidRPr="00597B3F" w14:paraId="5D0B4D7B"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60574D2B" w14:textId="77777777" w:rsidR="00AC4B79" w:rsidRPr="00597B3F" w:rsidRDefault="00AC4B79" w:rsidP="00AC4B79">
            <w:pPr>
              <w:spacing w:line="276" w:lineRule="auto"/>
              <w:rPr>
                <w:i/>
                <w:sz w:val="16"/>
              </w:rPr>
            </w:pPr>
            <w:proofErr w:type="spellStart"/>
            <w:r w:rsidRPr="00597B3F">
              <w:rPr>
                <w:i/>
                <w:sz w:val="16"/>
              </w:rPr>
              <w:t>Cassinia</w:t>
            </w:r>
            <w:proofErr w:type="spellEnd"/>
            <w:r w:rsidRPr="00597B3F">
              <w:rPr>
                <w:i/>
                <w:sz w:val="16"/>
              </w:rPr>
              <w:t xml:space="preserve"> </w:t>
            </w:r>
            <w:proofErr w:type="spellStart"/>
            <w:r w:rsidRPr="00597B3F">
              <w:rPr>
                <w:i/>
                <w:sz w:val="16"/>
              </w:rPr>
              <w:t>trinerva</w:t>
            </w:r>
            <w:proofErr w:type="spellEnd"/>
          </w:p>
        </w:tc>
        <w:tc>
          <w:tcPr>
            <w:tcW w:w="2829" w:type="dxa"/>
            <w:tcBorders>
              <w:top w:val="nil"/>
              <w:left w:val="nil"/>
              <w:bottom w:val="nil"/>
              <w:right w:val="single" w:sz="4" w:space="0" w:color="auto"/>
            </w:tcBorders>
            <w:shd w:val="clear" w:color="auto" w:fill="auto"/>
            <w:noWrap/>
            <w:vAlign w:val="bottom"/>
            <w:hideMark/>
          </w:tcPr>
          <w:p w14:paraId="10385B17" w14:textId="6C3CC508" w:rsidR="00AC4B79" w:rsidRPr="00597B3F" w:rsidRDefault="00060A29" w:rsidP="00A10EF6">
            <w:pPr>
              <w:spacing w:line="276" w:lineRule="auto"/>
              <w:rPr>
                <w:sz w:val="16"/>
              </w:rPr>
            </w:pPr>
            <w:r w:rsidRPr="00597B3F">
              <w:rPr>
                <w:sz w:val="16"/>
              </w:rPr>
              <w:fldChar w:fldCharType="begin" w:fldLock="1"/>
            </w:r>
            <w:r w:rsidR="00A10EF6" w:rsidRPr="00597B3F">
              <w:rPr>
                <w:sz w:val="16"/>
              </w:rPr>
              <w:instrText>ADDIN CSL_CITATION { "citationItems" : [ { "id" : "ITEM-1", "itemData" : { "DOI" : "10.1371/journal.pone.0084378", "ISBN" : "1932-6203", "ISSN" : "19326203", "PMID" : "24358359", "abstract" : "Ecological theory differentiates rainforest and open vegetation in many regions as functionally divergent alternative stable states with transitional (ecotonal) vegetation between the two forming transient unstable states. This transitional vegetation is of considerable significance, not only as a test case for theories of vegetation dynamics, but also because this type of vegetation is of major economic importance, and is home to a suite of species of conservation significance, including the world's tallest flowering plants. We therefore created predictions of patterns in plant functional traits that would test the alternative stable states model of these systems. We measured functional traits of 128 trees and shrubs across tropical and temperate rainforest - open vegetation transitions in Australia, with giant eucalypt forests situated between these vegetation types. We analysed a set of functional traits: leaf carbon isotopes, leaf area, leaf mass per area, leaf slenderness, wood density, maximum height and bark thickness, using univariate and multivariate methods. For most traits, giant eucalypt forest was similar to rainforest, while rainforest, particularly tropical rainforest, was significantly different from the open vegetation. In multivariate analyses, tropical and temperate rainforest diverged functionally, and both segregated from open vegetation. Furthermore, the giant eucalypt forests overlapped in function with their respective rainforests. The two types of giant eucalypt forests also exhibited greater overall functional similarity to each other than to any of the open vegetation types. We conclude that tropical and temperate giant eucalypt forests are ecologically and functionally convergent. The lack of clear functional differentiation from rainforest suggests that giant eucalypt forests are unstable states within the basin of attraction of rainforest. Our results have important implications for giant eucalypt forest management.", "author" : [ { "dropping-particle" : "", "family" : "Tng", "given" : "David Y P", "non-dropping-particle" : "", "parse-names" : false, "suffix" : "" }, { "dropping-particle" : "", "family" : "Jordan", "given" : "Greg J.", "non-dropping-particle" : "", "parse-names" : false, "suffix" : "" }, { "dropping-particle" : "", "family" : "Bowman", "given" : "David M J S", "non-dropping-particle" : "", "parse-names" : false, "suffix" : "" } ], "container-title" : "PLoS ONE", "id" : "ITEM-1", "issue" : "12", "issued" : { "date-parts" : [ [ "2013" ] ] }, "page" : "1-13", "title" : "Plant traits demonstrate that temperate and tropical giant eucalypt forests are ecologically convergent with rainforest not savanna", "type" : "article-journal", "volume" : "8" }, "uris" : [ "http://www.mendeley.com/documents/?uuid=f4d75882-6bd6-4efd-b140-43b1dd90d0bd" ] } ], "mendeley" : { "formattedCitation" : "(Tng, Jordan &amp; Bowman 2013)", "manualFormatting" : "Tng &amp; Bowman (2013)", "plainTextFormattedCitation" : "(Tng, Jordan &amp; Bowman 2013)", "previouslyFormattedCitation" : "(Tng, Jordan &amp; Bowman 2013)" }, "properties" : { "noteIndex" : 0 }, "schema" : "https://github.com/citation-style-language/schema/raw/master/csl-citation.json" }</w:instrText>
            </w:r>
            <w:r w:rsidRPr="00597B3F">
              <w:rPr>
                <w:sz w:val="16"/>
              </w:rPr>
              <w:fldChar w:fldCharType="separate"/>
            </w:r>
            <w:r w:rsidRPr="00597B3F">
              <w:rPr>
                <w:noProof/>
                <w:sz w:val="16"/>
              </w:rPr>
              <w:t xml:space="preserve">Tng </w:t>
            </w:r>
            <w:r w:rsidR="00A10EF6" w:rsidRPr="00597B3F">
              <w:rPr>
                <w:noProof/>
                <w:sz w:val="16"/>
              </w:rPr>
              <w:t>&amp; Bowman</w:t>
            </w:r>
            <w:r w:rsidRPr="00597B3F">
              <w:rPr>
                <w:noProof/>
                <w:sz w:val="16"/>
              </w:rPr>
              <w:t xml:space="preserve"> (2013)</w:t>
            </w:r>
            <w:r w:rsidRPr="00597B3F">
              <w:rPr>
                <w:sz w:val="16"/>
              </w:rPr>
              <w:fldChar w:fldCharType="end"/>
            </w:r>
          </w:p>
        </w:tc>
      </w:tr>
      <w:tr w:rsidR="00597B3F" w:rsidRPr="00597B3F" w14:paraId="2D4DBE79"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15A85681" w14:textId="77777777" w:rsidR="00AC4B79" w:rsidRPr="00597B3F" w:rsidRDefault="00AC4B79" w:rsidP="00AC4B79">
            <w:pPr>
              <w:spacing w:line="276" w:lineRule="auto"/>
              <w:rPr>
                <w:i/>
                <w:sz w:val="16"/>
              </w:rPr>
            </w:pPr>
            <w:proofErr w:type="spellStart"/>
            <w:r w:rsidRPr="00597B3F">
              <w:rPr>
                <w:i/>
                <w:sz w:val="16"/>
              </w:rPr>
              <w:t>Bedfordia</w:t>
            </w:r>
            <w:proofErr w:type="spellEnd"/>
            <w:r w:rsidRPr="00597B3F">
              <w:rPr>
                <w:i/>
                <w:sz w:val="16"/>
              </w:rPr>
              <w:t xml:space="preserve"> </w:t>
            </w:r>
            <w:proofErr w:type="spellStart"/>
            <w:r w:rsidRPr="00597B3F">
              <w:rPr>
                <w:i/>
                <w:sz w:val="16"/>
              </w:rPr>
              <w:t>arborescens</w:t>
            </w:r>
            <w:proofErr w:type="spellEnd"/>
          </w:p>
        </w:tc>
        <w:tc>
          <w:tcPr>
            <w:tcW w:w="2829" w:type="dxa"/>
            <w:tcBorders>
              <w:top w:val="nil"/>
              <w:left w:val="nil"/>
              <w:bottom w:val="nil"/>
              <w:right w:val="single" w:sz="4" w:space="0" w:color="auto"/>
            </w:tcBorders>
            <w:shd w:val="clear" w:color="auto" w:fill="auto"/>
            <w:noWrap/>
            <w:vAlign w:val="bottom"/>
            <w:hideMark/>
          </w:tcPr>
          <w:p w14:paraId="760B5F23" w14:textId="78C157D5" w:rsidR="00AC4B79" w:rsidRPr="00597B3F" w:rsidRDefault="00A10EF6" w:rsidP="00AC4B79">
            <w:pPr>
              <w:spacing w:line="276" w:lineRule="auto"/>
              <w:rPr>
                <w:sz w:val="16"/>
              </w:rPr>
            </w:pPr>
            <w:r w:rsidRPr="00597B3F">
              <w:rPr>
                <w:sz w:val="16"/>
              </w:rPr>
              <w:fldChar w:fldCharType="begin" w:fldLock="1"/>
            </w:r>
            <w:r w:rsidRPr="00597B3F">
              <w:rPr>
                <w:sz w:val="16"/>
              </w:rPr>
              <w:instrText>ADDIN CSL_CITATION { "citationItems" : [ { "id" : "ITEM-1", "itemData" : { "DOI" : "10.1371/journal.pone.0084378", "ISBN" : "1932-6203", "ISSN" : "19326203", "PMID" : "24358359", "abstract" : "Ecological theory differentiates rainforest and open vegetation in many regions as functionally divergent alternative stable states with transitional (ecotonal) vegetation between the two forming transient unstable states. This transitional vegetation is of considerable significance, not only as a test case for theories of vegetation dynamics, but also because this type of vegetation is of major economic importance, and is home to a suite of species of conservation significance, including the world's tallest flowering plants. We therefore created predictions of patterns in plant functional traits that would test the alternative stable states model of these systems. We measured functional traits of 128 trees and shrubs across tropical and temperate rainforest - open vegetation transitions in Australia, with giant eucalypt forests situated between these vegetation types. We analysed a set of functional traits: leaf carbon isotopes, leaf area, leaf mass per area, leaf slenderness, wood density, maximum height and bark thickness, using univariate and multivariate methods. For most traits, giant eucalypt forest was similar to rainforest, while rainforest, particularly tropical rainforest, was significantly different from the open vegetation. In multivariate analyses, tropical and temperate rainforest diverged functionally, and both segregated from open vegetation. Furthermore, the giant eucalypt forests overlapped in function with their respective rainforests. The two types of giant eucalypt forests also exhibited greater overall functional similarity to each other than to any of the open vegetation types. We conclude that tropical and temperate giant eucalypt forests are ecologically and functionally convergent. The lack of clear functional differentiation from rainforest suggests that giant eucalypt forests are unstable states within the basin of attraction of rainforest. Our results have important implications for giant eucalypt forest management.", "author" : [ { "dropping-particle" : "", "family" : "Tng", "given" : "David Y P", "non-dropping-particle" : "", "parse-names" : false, "suffix" : "" }, { "dropping-particle" : "", "family" : "Jordan", "given" : "Greg J.", "non-dropping-particle" : "", "parse-names" : false, "suffix" : "" }, { "dropping-particle" : "", "family" : "Bowman", "given" : "David M J S", "non-dropping-particle" : "", "parse-names" : false, "suffix" : "" } ], "container-title" : "PLoS ONE", "id" : "ITEM-1", "issue" : "12", "issued" : { "date-parts" : [ [ "2013" ] ] }, "page" : "1-13", "title" : "Plant traits demonstrate that temperate and tropical giant eucalypt forests are ecologically convergent with rainforest not savanna", "type" : "article-journal", "volume" : "8" }, "uris" : [ "http://www.mendeley.com/documents/?uuid=f4d75882-6bd6-4efd-b140-43b1dd90d0bd" ] } ], "mendeley" : { "formattedCitation" : "(Tng &lt;i&gt;et al.&lt;/i&gt; 2013)", "manualFormatting" : "Tng &amp; Bowman (2013)", "plainTextFormattedCitation" : "(Tng et al. 2013)", "previouslyFormattedCitation" : "(Tng &lt;i&gt;et al.&lt;/i&gt; 2013)" }, "properties" : { "noteIndex" : 0 }, "schema" : "https://github.com/citation-style-language/schema/raw/master/csl-citation.json" }</w:instrText>
            </w:r>
            <w:r w:rsidRPr="00597B3F">
              <w:rPr>
                <w:sz w:val="16"/>
              </w:rPr>
              <w:fldChar w:fldCharType="separate"/>
            </w:r>
            <w:r w:rsidRPr="00597B3F">
              <w:rPr>
                <w:noProof/>
                <w:sz w:val="16"/>
              </w:rPr>
              <w:t>Tng &amp; Bowman (2013)</w:t>
            </w:r>
            <w:r w:rsidRPr="00597B3F">
              <w:rPr>
                <w:sz w:val="16"/>
              </w:rPr>
              <w:fldChar w:fldCharType="end"/>
            </w:r>
          </w:p>
        </w:tc>
      </w:tr>
      <w:tr w:rsidR="00597B3F" w:rsidRPr="00597B3F" w14:paraId="27729DC1"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1A90EC12" w14:textId="77777777" w:rsidR="00AC4B79" w:rsidRPr="00597B3F" w:rsidRDefault="00AC4B79" w:rsidP="00AC4B79">
            <w:pPr>
              <w:spacing w:line="276" w:lineRule="auto"/>
              <w:rPr>
                <w:i/>
                <w:sz w:val="16"/>
              </w:rPr>
            </w:pPr>
            <w:proofErr w:type="spellStart"/>
            <w:r w:rsidRPr="00597B3F">
              <w:rPr>
                <w:i/>
                <w:sz w:val="16"/>
              </w:rPr>
              <w:t>Prostanthera</w:t>
            </w:r>
            <w:proofErr w:type="spellEnd"/>
            <w:r w:rsidRPr="00597B3F">
              <w:rPr>
                <w:i/>
                <w:sz w:val="16"/>
              </w:rPr>
              <w:t xml:space="preserve"> </w:t>
            </w:r>
            <w:proofErr w:type="spellStart"/>
            <w:r w:rsidRPr="00597B3F">
              <w:rPr>
                <w:i/>
                <w:sz w:val="16"/>
              </w:rPr>
              <w:t>lasianthos</w:t>
            </w:r>
            <w:proofErr w:type="spellEnd"/>
          </w:p>
        </w:tc>
        <w:tc>
          <w:tcPr>
            <w:tcW w:w="2829" w:type="dxa"/>
            <w:tcBorders>
              <w:top w:val="nil"/>
              <w:left w:val="nil"/>
              <w:bottom w:val="nil"/>
              <w:right w:val="single" w:sz="4" w:space="0" w:color="auto"/>
            </w:tcBorders>
            <w:shd w:val="clear" w:color="auto" w:fill="auto"/>
            <w:noWrap/>
            <w:vAlign w:val="bottom"/>
            <w:hideMark/>
          </w:tcPr>
          <w:p w14:paraId="44BD2649" w14:textId="5540CFC5" w:rsidR="00AC4B79" w:rsidRPr="00597B3F" w:rsidRDefault="00A10EF6" w:rsidP="00AC4B79">
            <w:pPr>
              <w:spacing w:line="276" w:lineRule="auto"/>
              <w:rPr>
                <w:sz w:val="16"/>
              </w:rPr>
            </w:pPr>
            <w:r w:rsidRPr="00597B3F">
              <w:rPr>
                <w:sz w:val="16"/>
              </w:rPr>
              <w:fldChar w:fldCharType="begin" w:fldLock="1"/>
            </w:r>
            <w:r w:rsidRPr="00597B3F">
              <w:rPr>
                <w:sz w:val="16"/>
              </w:rPr>
              <w:instrText>ADDIN CSL_CITATION { "citationItems" : [ { "id" : "ITEM-1", "itemData" : { "DOI" : "10.1371/journal.pone.0084378", "ISBN" : "1932-6203", "ISSN" : "19326203", "PMID" : "24358359", "abstract" : "Ecological theory differentiates rainforest and open vegetation in many regions as functionally divergent alternative stable states with transitional (ecotonal) vegetation between the two forming transient unstable states. This transitional vegetation is of considerable significance, not only as a test case for theories of vegetation dynamics, but also because this type of vegetation is of major economic importance, and is home to a suite of species of conservation significance, including the world's tallest flowering plants. We therefore created predictions of patterns in plant functional traits that would test the alternative stable states model of these systems. We measured functional traits of 128 trees and shrubs across tropical and temperate rainforest - open vegetation transitions in Australia, with giant eucalypt forests situated between these vegetation types. We analysed a set of functional traits: leaf carbon isotopes, leaf area, leaf mass per area, leaf slenderness, wood density, maximum height and bark thickness, using univariate and multivariate methods. For most traits, giant eucalypt forest was similar to rainforest, while rainforest, particularly tropical rainforest, was significantly different from the open vegetation. In multivariate analyses, tropical and temperate rainforest diverged functionally, and both segregated from open vegetation. Furthermore, the giant eucalypt forests overlapped in function with their respective rainforests. The two types of giant eucalypt forests also exhibited greater overall functional similarity to each other than to any of the open vegetation types. We conclude that tropical and temperate giant eucalypt forests are ecologically and functionally convergent. The lack of clear functional differentiation from rainforest suggests that giant eucalypt forests are unstable states within the basin of attraction of rainforest. Our results have important implications for giant eucalypt forest management.", "author" : [ { "dropping-particle" : "", "family" : "Tng", "given" : "David Y P", "non-dropping-particle" : "", "parse-names" : false, "suffix" : "" }, { "dropping-particle" : "", "family" : "Jordan", "given" : "Greg J.", "non-dropping-particle" : "", "parse-names" : false, "suffix" : "" }, { "dropping-particle" : "", "family" : "Bowman", "given" : "David M J S", "non-dropping-particle" : "", "parse-names" : false, "suffix" : "" } ], "container-title" : "PLoS ONE", "id" : "ITEM-1", "issue" : "12", "issued" : { "date-parts" : [ [ "2013" ] ] }, "page" : "1-13", "title" : "Plant traits demonstrate that temperate and tropical giant eucalypt forests are ecologically convergent with rainforest not savanna", "type" : "article-journal", "volume" : "8" }, "uris" : [ "http://www.mendeley.com/documents/?uuid=f4d75882-6bd6-4efd-b140-43b1dd90d0bd" ] } ], "mendeley" : { "formattedCitation" : "(Tng &lt;i&gt;et al.&lt;/i&gt; 2013)", "manualFormatting" : "Tng &amp; Bowman (2013)", "plainTextFormattedCitation" : "(Tng et al. 2013)", "previouslyFormattedCitation" : "(Tng &lt;i&gt;et al.&lt;/i&gt; 2013)" }, "properties" : { "noteIndex" : 0 }, "schema" : "https://github.com/citation-style-language/schema/raw/master/csl-citation.json" }</w:instrText>
            </w:r>
            <w:r w:rsidRPr="00597B3F">
              <w:rPr>
                <w:sz w:val="16"/>
              </w:rPr>
              <w:fldChar w:fldCharType="separate"/>
            </w:r>
            <w:r w:rsidRPr="00597B3F">
              <w:rPr>
                <w:noProof/>
                <w:sz w:val="16"/>
              </w:rPr>
              <w:t>Tng &amp; Bowman (2013)</w:t>
            </w:r>
            <w:r w:rsidRPr="00597B3F">
              <w:rPr>
                <w:sz w:val="16"/>
              </w:rPr>
              <w:fldChar w:fldCharType="end"/>
            </w:r>
          </w:p>
        </w:tc>
      </w:tr>
      <w:tr w:rsidR="00597B3F" w:rsidRPr="00597B3F" w14:paraId="73BCA411"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731AC9C8" w14:textId="77777777" w:rsidR="00AC4B79" w:rsidRPr="00597B3F" w:rsidRDefault="00AC4B79" w:rsidP="00AC4B79">
            <w:pPr>
              <w:spacing w:line="276" w:lineRule="auto"/>
              <w:rPr>
                <w:i/>
                <w:sz w:val="16"/>
              </w:rPr>
            </w:pPr>
            <w:proofErr w:type="spellStart"/>
            <w:r w:rsidRPr="00597B3F">
              <w:rPr>
                <w:i/>
                <w:sz w:val="16"/>
              </w:rPr>
              <w:t>Pultenaea</w:t>
            </w:r>
            <w:proofErr w:type="spellEnd"/>
            <w:r w:rsidRPr="00597B3F">
              <w:rPr>
                <w:i/>
                <w:sz w:val="16"/>
              </w:rPr>
              <w:t xml:space="preserve"> </w:t>
            </w:r>
            <w:proofErr w:type="spellStart"/>
            <w:r w:rsidRPr="00597B3F">
              <w:rPr>
                <w:i/>
                <w:sz w:val="16"/>
              </w:rPr>
              <w:t>juniperina</w:t>
            </w:r>
            <w:proofErr w:type="spellEnd"/>
          </w:p>
        </w:tc>
        <w:tc>
          <w:tcPr>
            <w:tcW w:w="2829" w:type="dxa"/>
            <w:tcBorders>
              <w:top w:val="nil"/>
              <w:left w:val="nil"/>
              <w:bottom w:val="nil"/>
              <w:right w:val="single" w:sz="4" w:space="0" w:color="auto"/>
            </w:tcBorders>
            <w:shd w:val="clear" w:color="auto" w:fill="auto"/>
            <w:noWrap/>
            <w:vAlign w:val="bottom"/>
            <w:hideMark/>
          </w:tcPr>
          <w:p w14:paraId="65BBE13C" w14:textId="6C3E5892" w:rsidR="00AC4B79" w:rsidRPr="00597B3F" w:rsidRDefault="00A10EF6" w:rsidP="00AC4B79">
            <w:pPr>
              <w:spacing w:line="276" w:lineRule="auto"/>
              <w:rPr>
                <w:sz w:val="16"/>
              </w:rPr>
            </w:pPr>
            <w:r w:rsidRPr="00597B3F">
              <w:rPr>
                <w:sz w:val="16"/>
              </w:rPr>
              <w:fldChar w:fldCharType="begin" w:fldLock="1"/>
            </w:r>
            <w:r w:rsidRPr="00597B3F">
              <w:rPr>
                <w:sz w:val="16"/>
              </w:rPr>
              <w:instrText>ADDIN CSL_CITATION { "citationItems" : [ { "id" : "ITEM-1", "itemData" : { "DOI" : "10.1371/journal.pone.0084378", "ISBN" : "1932-6203", "ISSN" : "19326203", "PMID" : "24358359", "abstract" : "Ecological theory differentiates rainforest and open vegetation in many regions as functionally divergent alternative stable states with transitional (ecotonal) vegetation between the two forming transient unstable states. This transitional vegetation is of considerable significance, not only as a test case for theories of vegetation dynamics, but also because this type of vegetation is of major economic importance, and is home to a suite of species of conservation significance, including the world's tallest flowering plants. We therefore created predictions of patterns in plant functional traits that would test the alternative stable states model of these systems. We measured functional traits of 128 trees and shrubs across tropical and temperate rainforest - open vegetation transitions in Australia, with giant eucalypt forests situated between these vegetation types. We analysed a set of functional traits: leaf carbon isotopes, leaf area, leaf mass per area, leaf slenderness, wood density, maximum height and bark thickness, using univariate and multivariate methods. For most traits, giant eucalypt forest was similar to rainforest, while rainforest, particularly tropical rainforest, was significantly different from the open vegetation. In multivariate analyses, tropical and temperate rainforest diverged functionally, and both segregated from open vegetation. Furthermore, the giant eucalypt forests overlapped in function with their respective rainforests. The two types of giant eucalypt forests also exhibited greater overall functional similarity to each other than to any of the open vegetation types. We conclude that tropical and temperate giant eucalypt forests are ecologically and functionally convergent. The lack of clear functional differentiation from rainforest suggests that giant eucalypt forests are unstable states within the basin of attraction of rainforest. Our results have important implications for giant eucalypt forest management.", "author" : [ { "dropping-particle" : "", "family" : "Tng", "given" : "David Y P", "non-dropping-particle" : "", "parse-names" : false, "suffix" : "" }, { "dropping-particle" : "", "family" : "Jordan", "given" : "Greg J.", "non-dropping-particle" : "", "parse-names" : false, "suffix" : "" }, { "dropping-particle" : "", "family" : "Bowman", "given" : "David M J S", "non-dropping-particle" : "", "parse-names" : false, "suffix" : "" } ], "container-title" : "PLoS ONE", "id" : "ITEM-1", "issue" : "12", "issued" : { "date-parts" : [ [ "2013" ] ] }, "page" : "1-13", "title" : "Plant traits demonstrate that temperate and tropical giant eucalypt forests are ecologically convergent with rainforest not savanna", "type" : "article-journal", "volume" : "8" }, "uris" : [ "http://www.mendeley.com/documents/?uuid=f4d75882-6bd6-4efd-b140-43b1dd90d0bd" ] } ], "mendeley" : { "formattedCitation" : "(Tng &lt;i&gt;et al.&lt;/i&gt; 2013)", "manualFormatting" : "Tng &amp; Bowman (2013)", "plainTextFormattedCitation" : "(Tng et al. 2013)", "previouslyFormattedCitation" : "(Tng &lt;i&gt;et al.&lt;/i&gt; 2013)" }, "properties" : { "noteIndex" : 0 }, "schema" : "https://github.com/citation-style-language/schema/raw/master/csl-citation.json" }</w:instrText>
            </w:r>
            <w:r w:rsidRPr="00597B3F">
              <w:rPr>
                <w:sz w:val="16"/>
              </w:rPr>
              <w:fldChar w:fldCharType="separate"/>
            </w:r>
            <w:r w:rsidRPr="00597B3F">
              <w:rPr>
                <w:noProof/>
                <w:sz w:val="16"/>
              </w:rPr>
              <w:t>Tng &amp; Bowman (2013)</w:t>
            </w:r>
            <w:r w:rsidRPr="00597B3F">
              <w:rPr>
                <w:sz w:val="16"/>
              </w:rPr>
              <w:fldChar w:fldCharType="end"/>
            </w:r>
          </w:p>
        </w:tc>
      </w:tr>
      <w:tr w:rsidR="00597B3F" w:rsidRPr="00597B3F" w14:paraId="3ABD048E"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26EF283F" w14:textId="77777777" w:rsidR="00AC4B79" w:rsidRPr="00597B3F" w:rsidRDefault="00AC4B79" w:rsidP="00AC4B79">
            <w:pPr>
              <w:spacing w:line="276" w:lineRule="auto"/>
              <w:rPr>
                <w:i/>
                <w:sz w:val="16"/>
              </w:rPr>
            </w:pPr>
            <w:proofErr w:type="spellStart"/>
            <w:r w:rsidRPr="00597B3F">
              <w:rPr>
                <w:i/>
                <w:sz w:val="16"/>
              </w:rPr>
              <w:t>Ligustrum</w:t>
            </w:r>
            <w:proofErr w:type="spellEnd"/>
            <w:r w:rsidRPr="00597B3F">
              <w:rPr>
                <w:i/>
                <w:sz w:val="16"/>
              </w:rPr>
              <w:t xml:space="preserve"> </w:t>
            </w:r>
            <w:proofErr w:type="spellStart"/>
            <w:r w:rsidRPr="00597B3F">
              <w:rPr>
                <w:i/>
                <w:sz w:val="16"/>
              </w:rPr>
              <w:t>sinense</w:t>
            </w:r>
            <w:proofErr w:type="spellEnd"/>
          </w:p>
        </w:tc>
        <w:tc>
          <w:tcPr>
            <w:tcW w:w="2829" w:type="dxa"/>
            <w:tcBorders>
              <w:top w:val="nil"/>
              <w:left w:val="nil"/>
              <w:bottom w:val="nil"/>
              <w:right w:val="single" w:sz="4" w:space="0" w:color="auto"/>
            </w:tcBorders>
            <w:shd w:val="clear" w:color="auto" w:fill="auto"/>
            <w:noWrap/>
            <w:vAlign w:val="bottom"/>
            <w:hideMark/>
          </w:tcPr>
          <w:p w14:paraId="3FE7CD55" w14:textId="4A4534C0" w:rsidR="00AC4B79" w:rsidRPr="00597B3F" w:rsidRDefault="00060A29" w:rsidP="00A10EF6">
            <w:pPr>
              <w:spacing w:line="276" w:lineRule="auto"/>
              <w:rPr>
                <w:sz w:val="16"/>
              </w:rPr>
            </w:pPr>
            <w:r w:rsidRPr="00597B3F">
              <w:rPr>
                <w:sz w:val="16"/>
              </w:rPr>
              <w:fldChar w:fldCharType="begin" w:fldLock="1"/>
            </w:r>
            <w:r w:rsidR="00A10EF6" w:rsidRPr="00597B3F">
              <w:rPr>
                <w:sz w:val="16"/>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"1388-1398", "title" : "Wood anatomy and wood density in shrubs: Responses to varying aridity along transcontinental transects.", "type" : "article-journal", "volume" : "96" }, "uris" : [ "http://www.mendeley.com/documents/?uuid=6ba3838e-de58-4526-a9a6-eeb0cea712c1" ] } ], "mendeley" : { "formattedCitation" : "(Mart\u00ednez-Cabrera &lt;i&gt;et al.&lt;/i&gt; 2009)", "manualFormatting" : "Mart\u00ednez-Cabrera et al. (2009)", "plainTextFormattedCitation" : "(Mart\u00ednez-Cabrera et al. 2009)", "previouslyFormattedCitation" : "(Mart\u00ednez-Cabrera &lt;i&gt;et al.&lt;/i&gt; 2009)" }, "properties" : { "noteIndex" : 0 }, "schema" : "https://github.com/citation-style-language/schema/raw/master/csl-citation.json" }</w:instrText>
            </w:r>
            <w:r w:rsidRPr="00597B3F">
              <w:rPr>
                <w:sz w:val="16"/>
              </w:rPr>
              <w:fldChar w:fldCharType="separate"/>
            </w:r>
            <w:r w:rsidRPr="00597B3F">
              <w:rPr>
                <w:noProof/>
                <w:sz w:val="16"/>
              </w:rPr>
              <w:t>Martínez-C</w:t>
            </w:r>
            <w:r w:rsidR="00A10EF6" w:rsidRPr="00597B3F">
              <w:rPr>
                <w:noProof/>
                <w:sz w:val="16"/>
              </w:rPr>
              <w:t>abrera et al.</w:t>
            </w:r>
            <w:r w:rsidRPr="00597B3F">
              <w:rPr>
                <w:noProof/>
                <w:sz w:val="16"/>
              </w:rPr>
              <w:t xml:space="preserve"> (2009)</w:t>
            </w:r>
            <w:r w:rsidRPr="00597B3F">
              <w:rPr>
                <w:sz w:val="16"/>
              </w:rPr>
              <w:fldChar w:fldCharType="end"/>
            </w:r>
          </w:p>
        </w:tc>
      </w:tr>
      <w:tr w:rsidR="00597B3F" w:rsidRPr="00597B3F" w14:paraId="59639BFB"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00648ACA" w14:textId="77777777" w:rsidR="00AC4B79" w:rsidRPr="00597B3F" w:rsidRDefault="00AC4B79" w:rsidP="00AC4B79">
            <w:pPr>
              <w:spacing w:line="276" w:lineRule="auto"/>
              <w:rPr>
                <w:i/>
                <w:sz w:val="16"/>
              </w:rPr>
            </w:pPr>
            <w:r w:rsidRPr="00597B3F">
              <w:rPr>
                <w:i/>
                <w:sz w:val="16"/>
              </w:rPr>
              <w:t xml:space="preserve">Grevillea </w:t>
            </w:r>
            <w:proofErr w:type="spellStart"/>
            <w:r w:rsidRPr="00597B3F">
              <w:rPr>
                <w:i/>
                <w:sz w:val="16"/>
              </w:rPr>
              <w:t>robusta</w:t>
            </w:r>
            <w:proofErr w:type="spellEnd"/>
          </w:p>
        </w:tc>
        <w:tc>
          <w:tcPr>
            <w:tcW w:w="2829" w:type="dxa"/>
            <w:tcBorders>
              <w:top w:val="nil"/>
              <w:left w:val="nil"/>
              <w:bottom w:val="nil"/>
              <w:right w:val="single" w:sz="4" w:space="0" w:color="auto"/>
            </w:tcBorders>
            <w:shd w:val="clear" w:color="000000" w:fill="FFFFFF"/>
            <w:noWrap/>
            <w:vAlign w:val="bottom"/>
            <w:hideMark/>
          </w:tcPr>
          <w:p w14:paraId="2C2D1AA3" w14:textId="3CD49FB6" w:rsidR="00AC4B79" w:rsidRPr="00597B3F" w:rsidRDefault="00060A29" w:rsidP="00A10EF6">
            <w:pPr>
              <w:spacing w:line="276" w:lineRule="auto"/>
              <w:rPr>
                <w:sz w:val="16"/>
              </w:rPr>
            </w:pPr>
            <w:r w:rsidRPr="00597B3F">
              <w:rPr>
                <w:sz w:val="16"/>
              </w:rPr>
              <w:fldChar w:fldCharType="begin" w:fldLock="1"/>
            </w:r>
            <w:r w:rsidR="00A10EF6" w:rsidRPr="00597B3F">
              <w:rPr>
                <w:sz w:val="16"/>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"manualFormatting" : "Chave et al. (2009)", "plainTextFormattedCitation" : "(Chave et al. 2009)", "previouslyFormattedCitation" : "(Chave &lt;i&gt;et al.&lt;/i&gt; 2009)" }, "properties" : { "noteIndex" : 0 }, "schema" : "https://github.com/citation-style-language/schema/raw/master/csl-citation.json" }</w:instrText>
            </w:r>
            <w:r w:rsidRPr="00597B3F">
              <w:rPr>
                <w:sz w:val="16"/>
              </w:rPr>
              <w:fldChar w:fldCharType="separate"/>
            </w:r>
            <w:r w:rsidR="00A10EF6" w:rsidRPr="00597B3F">
              <w:rPr>
                <w:noProof/>
                <w:sz w:val="16"/>
              </w:rPr>
              <w:t>Chave et al.</w:t>
            </w:r>
            <w:r w:rsidRPr="00597B3F">
              <w:rPr>
                <w:noProof/>
                <w:sz w:val="16"/>
              </w:rPr>
              <w:t xml:space="preserve"> </w:t>
            </w:r>
            <w:r w:rsidR="00A10EF6" w:rsidRPr="00597B3F">
              <w:rPr>
                <w:noProof/>
                <w:sz w:val="16"/>
              </w:rPr>
              <w:t>(</w:t>
            </w:r>
            <w:r w:rsidRPr="00597B3F">
              <w:rPr>
                <w:noProof/>
                <w:sz w:val="16"/>
              </w:rPr>
              <w:t>2009)</w:t>
            </w:r>
            <w:r w:rsidRPr="00597B3F">
              <w:rPr>
                <w:sz w:val="16"/>
              </w:rPr>
              <w:fldChar w:fldCharType="end"/>
            </w:r>
            <w:r w:rsidRPr="00597B3F">
              <w:rPr>
                <w:sz w:val="16"/>
              </w:rPr>
              <w:t xml:space="preserve"> </w:t>
            </w:r>
            <w:r w:rsidR="00AC4B79" w:rsidRPr="00597B3F">
              <w:rPr>
                <w:sz w:val="16"/>
              </w:rPr>
              <w:t>- averaged value</w:t>
            </w:r>
          </w:p>
        </w:tc>
      </w:tr>
      <w:tr w:rsidR="00597B3F" w:rsidRPr="00597B3F" w14:paraId="6162A535" w14:textId="77777777" w:rsidTr="00AC4B79">
        <w:trPr>
          <w:trHeight w:val="300"/>
        </w:trPr>
        <w:tc>
          <w:tcPr>
            <w:tcW w:w="3120" w:type="dxa"/>
            <w:tcBorders>
              <w:top w:val="nil"/>
              <w:left w:val="single" w:sz="4" w:space="0" w:color="auto"/>
              <w:bottom w:val="nil"/>
              <w:right w:val="single" w:sz="4" w:space="0" w:color="auto"/>
            </w:tcBorders>
            <w:shd w:val="clear" w:color="000000" w:fill="FFFFFF"/>
            <w:noWrap/>
            <w:vAlign w:val="bottom"/>
            <w:hideMark/>
          </w:tcPr>
          <w:p w14:paraId="5D63E052" w14:textId="77777777" w:rsidR="00AC4B79" w:rsidRPr="00597B3F" w:rsidRDefault="00AC4B79" w:rsidP="00AC4B79">
            <w:pPr>
              <w:spacing w:line="276" w:lineRule="auto"/>
              <w:rPr>
                <w:i/>
                <w:sz w:val="16"/>
              </w:rPr>
            </w:pPr>
            <w:proofErr w:type="spellStart"/>
            <w:r w:rsidRPr="00597B3F">
              <w:rPr>
                <w:i/>
                <w:sz w:val="16"/>
              </w:rPr>
              <w:t>Notelaea</w:t>
            </w:r>
            <w:proofErr w:type="spellEnd"/>
            <w:r w:rsidRPr="00597B3F">
              <w:rPr>
                <w:i/>
                <w:sz w:val="16"/>
              </w:rPr>
              <w:t xml:space="preserve"> </w:t>
            </w:r>
            <w:proofErr w:type="spellStart"/>
            <w:r w:rsidRPr="00597B3F">
              <w:rPr>
                <w:i/>
                <w:sz w:val="16"/>
              </w:rPr>
              <w:t>longifolia</w:t>
            </w:r>
            <w:proofErr w:type="spellEnd"/>
          </w:p>
        </w:tc>
        <w:tc>
          <w:tcPr>
            <w:tcW w:w="2829" w:type="dxa"/>
            <w:tcBorders>
              <w:top w:val="nil"/>
              <w:left w:val="nil"/>
              <w:bottom w:val="nil"/>
              <w:right w:val="single" w:sz="4" w:space="0" w:color="auto"/>
            </w:tcBorders>
            <w:shd w:val="clear" w:color="000000" w:fill="FFFFFF"/>
            <w:noWrap/>
            <w:vAlign w:val="bottom"/>
            <w:hideMark/>
          </w:tcPr>
          <w:p w14:paraId="5BA19875" w14:textId="7AB1EB76" w:rsidR="00AC4B79" w:rsidRPr="00597B3F" w:rsidRDefault="00060A29" w:rsidP="00AC4B79">
            <w:pPr>
              <w:spacing w:line="276" w:lineRule="auto"/>
              <w:rPr>
                <w:sz w:val="16"/>
              </w:rPr>
            </w:pPr>
            <w:r w:rsidRPr="00597B3F">
              <w:rPr>
                <w:sz w:val="16"/>
              </w:rPr>
              <w:fldChar w:fldCharType="begin" w:fldLock="1"/>
            </w:r>
            <w:r w:rsidR="00A10EF6" w:rsidRPr="00597B3F">
              <w:rPr>
                <w:sz w:val="16"/>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"manualFormatting" : "Chave et al. (2009)", "plainTextFormattedCitation" : "(Chave et al. 2009)", "previouslyFormattedCitation" : "(Chave &lt;i&gt;et al.&lt;/i&gt; 2009)" }, "properties" : { "noteIndex" : 0 }, "schema" : "https://github.com/citation-style-language/schema/raw/master/csl-citation.json" }</w:instrText>
            </w:r>
            <w:r w:rsidRPr="00597B3F">
              <w:rPr>
                <w:sz w:val="16"/>
              </w:rPr>
              <w:fldChar w:fldCharType="separate"/>
            </w:r>
            <w:r w:rsidR="00A10EF6" w:rsidRPr="00597B3F">
              <w:rPr>
                <w:noProof/>
                <w:sz w:val="16"/>
              </w:rPr>
              <w:t>Chave et al.</w:t>
            </w:r>
            <w:r w:rsidRPr="00597B3F">
              <w:rPr>
                <w:noProof/>
                <w:sz w:val="16"/>
              </w:rPr>
              <w:t xml:space="preserve"> (2009)</w:t>
            </w:r>
            <w:r w:rsidRPr="00597B3F">
              <w:rPr>
                <w:sz w:val="16"/>
              </w:rPr>
              <w:fldChar w:fldCharType="end"/>
            </w:r>
          </w:p>
        </w:tc>
      </w:tr>
      <w:tr w:rsidR="00597B3F" w:rsidRPr="00597B3F" w14:paraId="7A706CB7" w14:textId="77777777" w:rsidTr="00AC4B79">
        <w:trPr>
          <w:trHeight w:val="300"/>
        </w:trPr>
        <w:tc>
          <w:tcPr>
            <w:tcW w:w="3120" w:type="dxa"/>
            <w:tcBorders>
              <w:top w:val="nil"/>
              <w:left w:val="single" w:sz="4" w:space="0" w:color="auto"/>
              <w:bottom w:val="single" w:sz="4" w:space="0" w:color="auto"/>
              <w:right w:val="single" w:sz="4" w:space="0" w:color="auto"/>
            </w:tcBorders>
            <w:shd w:val="clear" w:color="000000" w:fill="FFFFFF"/>
            <w:noWrap/>
            <w:vAlign w:val="bottom"/>
            <w:hideMark/>
          </w:tcPr>
          <w:p w14:paraId="2068C0E4" w14:textId="77777777" w:rsidR="00AC4B79" w:rsidRPr="00597B3F" w:rsidRDefault="00AC4B79" w:rsidP="00AC4B79">
            <w:pPr>
              <w:spacing w:line="276" w:lineRule="auto"/>
              <w:rPr>
                <w:i/>
                <w:sz w:val="16"/>
              </w:rPr>
            </w:pPr>
            <w:proofErr w:type="spellStart"/>
            <w:r w:rsidRPr="00597B3F">
              <w:rPr>
                <w:i/>
                <w:sz w:val="16"/>
              </w:rPr>
              <w:t>Trema</w:t>
            </w:r>
            <w:proofErr w:type="spellEnd"/>
            <w:r w:rsidRPr="00597B3F">
              <w:rPr>
                <w:i/>
                <w:sz w:val="16"/>
              </w:rPr>
              <w:t xml:space="preserve"> </w:t>
            </w:r>
            <w:proofErr w:type="spellStart"/>
            <w:r w:rsidRPr="00597B3F">
              <w:rPr>
                <w:i/>
                <w:sz w:val="16"/>
              </w:rPr>
              <w:t>tomentosa</w:t>
            </w:r>
            <w:proofErr w:type="spellEnd"/>
            <w:r w:rsidRPr="00597B3F">
              <w:rPr>
                <w:i/>
                <w:sz w:val="16"/>
              </w:rPr>
              <w:t xml:space="preserve"> subsp. </w:t>
            </w:r>
            <w:proofErr w:type="spellStart"/>
            <w:r w:rsidRPr="00597B3F">
              <w:rPr>
                <w:i/>
                <w:sz w:val="16"/>
              </w:rPr>
              <w:t>aspera</w:t>
            </w:r>
            <w:proofErr w:type="spellEnd"/>
          </w:p>
        </w:tc>
        <w:tc>
          <w:tcPr>
            <w:tcW w:w="2829" w:type="dxa"/>
            <w:tcBorders>
              <w:top w:val="nil"/>
              <w:left w:val="nil"/>
              <w:bottom w:val="single" w:sz="4" w:space="0" w:color="auto"/>
              <w:right w:val="single" w:sz="4" w:space="0" w:color="auto"/>
            </w:tcBorders>
            <w:shd w:val="clear" w:color="000000" w:fill="FFFFFF"/>
            <w:noWrap/>
            <w:vAlign w:val="bottom"/>
            <w:hideMark/>
          </w:tcPr>
          <w:p w14:paraId="6DBCAE1C" w14:textId="78C01527" w:rsidR="00AC4B79" w:rsidRPr="00597B3F" w:rsidRDefault="00060A29" w:rsidP="00AC4B79">
            <w:pPr>
              <w:spacing w:line="276" w:lineRule="auto"/>
              <w:rPr>
                <w:sz w:val="16"/>
              </w:rPr>
            </w:pPr>
            <w:r w:rsidRPr="00597B3F">
              <w:rPr>
                <w:sz w:val="16"/>
              </w:rPr>
              <w:fldChar w:fldCharType="begin" w:fldLock="1"/>
            </w:r>
            <w:r w:rsidR="00A01BDC" w:rsidRPr="00597B3F">
              <w:rPr>
                <w:sz w:val="16"/>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"manualFormatting" : "Chave et al. (2009)", "plainTextFormattedCitation" : "(Chave et al. 2009)", "previouslyFormattedCitation" : "(Chave &lt;i&gt;et al.&lt;/i&gt; 2009)" }, "properties" : { "noteIndex" : 0 }, "schema" : "https://github.com/citation-style-language/schema/raw/master/csl-citation.json" }</w:instrText>
            </w:r>
            <w:r w:rsidRPr="00597B3F">
              <w:rPr>
                <w:sz w:val="16"/>
              </w:rPr>
              <w:fldChar w:fldCharType="separate"/>
            </w:r>
            <w:r w:rsidR="00A10EF6" w:rsidRPr="00597B3F">
              <w:rPr>
                <w:noProof/>
                <w:sz w:val="16"/>
              </w:rPr>
              <w:t>Chave et al.</w:t>
            </w:r>
            <w:r w:rsidRPr="00597B3F">
              <w:rPr>
                <w:noProof/>
                <w:sz w:val="16"/>
              </w:rPr>
              <w:t xml:space="preserve"> (2009)</w:t>
            </w:r>
            <w:r w:rsidRPr="00597B3F">
              <w:rPr>
                <w:sz w:val="16"/>
              </w:rPr>
              <w:fldChar w:fldCharType="end"/>
            </w:r>
            <w:r w:rsidRPr="00597B3F">
              <w:rPr>
                <w:sz w:val="16"/>
              </w:rPr>
              <w:t xml:space="preserve"> </w:t>
            </w:r>
            <w:r w:rsidR="00AC4B79" w:rsidRPr="00597B3F">
              <w:rPr>
                <w:sz w:val="16"/>
              </w:rPr>
              <w:t>- averaged value</w:t>
            </w:r>
          </w:p>
        </w:tc>
      </w:tr>
    </w:tbl>
    <w:p w14:paraId="4607B51F" w14:textId="77777777" w:rsidR="00AC4B79" w:rsidRPr="00597B3F" w:rsidRDefault="00AC4B79" w:rsidP="00AC4B79"/>
    <w:p w14:paraId="57C3964C" w14:textId="7A175D3F" w:rsidR="00A01BDC" w:rsidRPr="00597B3F" w:rsidRDefault="00A01BDC">
      <w:pPr>
        <w:pStyle w:val="NormalWeb"/>
        <w:ind w:left="480" w:hanging="480"/>
        <w:divId w:val="2079786053"/>
        <w:rPr>
          <w:rFonts w:ascii="Calibri" w:hAnsi="Calibri"/>
          <w:noProof/>
          <w:sz w:val="22"/>
        </w:rPr>
      </w:pPr>
      <w:r w:rsidRPr="00597B3F">
        <w:fldChar w:fldCharType="begin" w:fldLock="1"/>
      </w:r>
      <w:r w:rsidRPr="00597B3F">
        <w:instrText xml:space="preserve">ADDIN Mendeley Bibliography CSL_BIBLIOGRAPHY </w:instrText>
      </w:r>
      <w:r w:rsidRPr="00597B3F">
        <w:fldChar w:fldCharType="separate"/>
      </w:r>
      <w:r w:rsidRPr="00597B3F">
        <w:rPr>
          <w:rFonts w:ascii="Calibri" w:hAnsi="Calibri"/>
          <w:noProof/>
          <w:sz w:val="22"/>
        </w:rPr>
        <w:t xml:space="preserve">Chave, J., Coomes, D., Jansen, S., Lewis, S.L., Swenson, N.G. &amp; Zanne, A.E. (2009) Towards a worldwide wood economics spectrum. </w:t>
      </w:r>
      <w:r w:rsidRPr="00597B3F">
        <w:rPr>
          <w:rFonts w:ascii="Calibri" w:hAnsi="Calibri"/>
          <w:i/>
          <w:iCs/>
          <w:noProof/>
          <w:sz w:val="22"/>
        </w:rPr>
        <w:t>Ecology Letters</w:t>
      </w:r>
      <w:r w:rsidRPr="00597B3F">
        <w:rPr>
          <w:rFonts w:ascii="Calibri" w:hAnsi="Calibri"/>
          <w:noProof/>
          <w:sz w:val="22"/>
        </w:rPr>
        <w:t xml:space="preserve">, </w:t>
      </w:r>
      <w:r w:rsidRPr="00597B3F">
        <w:rPr>
          <w:rFonts w:ascii="Calibri" w:hAnsi="Calibri"/>
          <w:b/>
          <w:bCs/>
          <w:noProof/>
          <w:sz w:val="22"/>
        </w:rPr>
        <w:t>12</w:t>
      </w:r>
      <w:r w:rsidRPr="00597B3F">
        <w:rPr>
          <w:rFonts w:ascii="Calibri" w:hAnsi="Calibri"/>
          <w:noProof/>
          <w:sz w:val="22"/>
        </w:rPr>
        <w:t>, 351–366.</w:t>
      </w:r>
    </w:p>
    <w:p w14:paraId="0569D3A7" w14:textId="77777777" w:rsidR="00A01BDC" w:rsidRPr="00597B3F" w:rsidRDefault="00A01BDC">
      <w:pPr>
        <w:pStyle w:val="NormalWeb"/>
        <w:ind w:left="480" w:hanging="480"/>
        <w:divId w:val="2079786053"/>
        <w:rPr>
          <w:rFonts w:ascii="Calibri" w:hAnsi="Calibri"/>
          <w:noProof/>
          <w:sz w:val="22"/>
        </w:rPr>
      </w:pPr>
      <w:r w:rsidRPr="00597B3F">
        <w:rPr>
          <w:rFonts w:ascii="Calibri" w:hAnsi="Calibri"/>
          <w:noProof/>
          <w:sz w:val="22"/>
        </w:rPr>
        <w:t xml:space="preserve">Kooyman, R.M. &amp; Westoby, M. (2009) Costs of height gain in rainforest saplings: Main-stem scaling, functional traits and strategy variation across 75 species. </w:t>
      </w:r>
      <w:r w:rsidRPr="00597B3F">
        <w:rPr>
          <w:rFonts w:ascii="Calibri" w:hAnsi="Calibri"/>
          <w:i/>
          <w:iCs/>
          <w:noProof/>
          <w:sz w:val="22"/>
        </w:rPr>
        <w:t>Annals of Botany</w:t>
      </w:r>
      <w:r w:rsidRPr="00597B3F">
        <w:rPr>
          <w:rFonts w:ascii="Calibri" w:hAnsi="Calibri"/>
          <w:noProof/>
          <w:sz w:val="22"/>
        </w:rPr>
        <w:t xml:space="preserve">, </w:t>
      </w:r>
      <w:r w:rsidRPr="00597B3F">
        <w:rPr>
          <w:rFonts w:ascii="Calibri" w:hAnsi="Calibri"/>
          <w:b/>
          <w:bCs/>
          <w:noProof/>
          <w:sz w:val="22"/>
        </w:rPr>
        <w:t>104</w:t>
      </w:r>
      <w:r w:rsidRPr="00597B3F">
        <w:rPr>
          <w:rFonts w:ascii="Calibri" w:hAnsi="Calibri"/>
          <w:noProof/>
          <w:sz w:val="22"/>
        </w:rPr>
        <w:t>, 987–993.</w:t>
      </w:r>
    </w:p>
    <w:p w14:paraId="47E972AD" w14:textId="77777777" w:rsidR="00A01BDC" w:rsidRPr="00597B3F" w:rsidRDefault="00A01BDC">
      <w:pPr>
        <w:pStyle w:val="NormalWeb"/>
        <w:ind w:left="480" w:hanging="480"/>
        <w:divId w:val="2079786053"/>
        <w:rPr>
          <w:rFonts w:ascii="Calibri" w:hAnsi="Calibri"/>
          <w:noProof/>
          <w:sz w:val="22"/>
        </w:rPr>
      </w:pPr>
      <w:r w:rsidRPr="00597B3F">
        <w:rPr>
          <w:rFonts w:ascii="Calibri" w:hAnsi="Calibri"/>
          <w:noProof/>
          <w:sz w:val="22"/>
        </w:rPr>
        <w:t xml:space="preserve">Martínez-Cabrera, H.I., Jones, C.S., Espino, S. &amp; Schenk, H.J. (2009) Wood anatomy and wood density in shrubs: Responses to varying aridity along transcontinental transects. </w:t>
      </w:r>
      <w:r w:rsidRPr="00597B3F">
        <w:rPr>
          <w:rFonts w:ascii="Calibri" w:hAnsi="Calibri"/>
          <w:i/>
          <w:iCs/>
          <w:noProof/>
          <w:sz w:val="22"/>
        </w:rPr>
        <w:t>American Journal of Botany</w:t>
      </w:r>
      <w:r w:rsidRPr="00597B3F">
        <w:rPr>
          <w:rFonts w:ascii="Calibri" w:hAnsi="Calibri"/>
          <w:noProof/>
          <w:sz w:val="22"/>
        </w:rPr>
        <w:t xml:space="preserve">, </w:t>
      </w:r>
      <w:r w:rsidRPr="00597B3F">
        <w:rPr>
          <w:rFonts w:ascii="Calibri" w:hAnsi="Calibri"/>
          <w:b/>
          <w:bCs/>
          <w:noProof/>
          <w:sz w:val="22"/>
        </w:rPr>
        <w:t>96</w:t>
      </w:r>
      <w:r w:rsidRPr="00597B3F">
        <w:rPr>
          <w:rFonts w:ascii="Calibri" w:hAnsi="Calibri"/>
          <w:noProof/>
          <w:sz w:val="22"/>
        </w:rPr>
        <w:t>, 1388–1398.</w:t>
      </w:r>
    </w:p>
    <w:p w14:paraId="61E13BD9" w14:textId="6D61385D" w:rsidR="00A01BDC" w:rsidRPr="00597B3F" w:rsidRDefault="00A01BDC">
      <w:pPr>
        <w:pStyle w:val="NormalWeb"/>
        <w:ind w:left="480" w:hanging="480"/>
        <w:divId w:val="2079786053"/>
        <w:rPr>
          <w:rFonts w:ascii="Calibri" w:hAnsi="Calibri"/>
          <w:noProof/>
          <w:sz w:val="22"/>
        </w:rPr>
      </w:pPr>
      <w:r w:rsidRPr="00597B3F">
        <w:rPr>
          <w:rFonts w:ascii="Calibri" w:hAnsi="Calibri"/>
          <w:noProof/>
          <w:sz w:val="22"/>
        </w:rPr>
        <w:t xml:space="preserve">Stuart, S.A. (2011) </w:t>
      </w:r>
      <w:r w:rsidRPr="00597B3F">
        <w:rPr>
          <w:rFonts w:ascii="Calibri" w:hAnsi="Calibri"/>
          <w:iCs/>
          <w:noProof/>
          <w:sz w:val="22"/>
        </w:rPr>
        <w:t>Cold Comfort: Diversification and Adaptive Evolution across Latitudinal Gradients, PhD Thesis</w:t>
      </w:r>
      <w:r w:rsidRPr="00597B3F">
        <w:rPr>
          <w:rFonts w:ascii="Calibri" w:hAnsi="Calibri"/>
          <w:noProof/>
          <w:sz w:val="22"/>
        </w:rPr>
        <w:t>.</w:t>
      </w:r>
    </w:p>
    <w:p w14:paraId="18C1EE58" w14:textId="77777777" w:rsidR="00A01BDC" w:rsidRPr="00597B3F" w:rsidRDefault="00A01BDC">
      <w:pPr>
        <w:pStyle w:val="NormalWeb"/>
        <w:ind w:left="480" w:hanging="480"/>
        <w:divId w:val="2079786053"/>
        <w:rPr>
          <w:rFonts w:ascii="Calibri" w:hAnsi="Calibri"/>
          <w:noProof/>
          <w:sz w:val="22"/>
        </w:rPr>
      </w:pPr>
      <w:r w:rsidRPr="00597B3F">
        <w:rPr>
          <w:rFonts w:ascii="Calibri" w:hAnsi="Calibri"/>
          <w:noProof/>
          <w:sz w:val="22"/>
        </w:rPr>
        <w:t xml:space="preserve">Tng, D.Y.P., Jordan, G.J. &amp; Bowman, D.M.J.S. (2013) Plant traits demonstrate that temperate and tropical giant eucalypt forests are ecologically convergent with rainforest not savanna. </w:t>
      </w:r>
      <w:r w:rsidRPr="00597B3F">
        <w:rPr>
          <w:rFonts w:ascii="Calibri" w:hAnsi="Calibri"/>
          <w:i/>
          <w:iCs/>
          <w:noProof/>
          <w:sz w:val="22"/>
        </w:rPr>
        <w:t>PLoS ONE</w:t>
      </w:r>
      <w:r w:rsidRPr="00597B3F">
        <w:rPr>
          <w:rFonts w:ascii="Calibri" w:hAnsi="Calibri"/>
          <w:noProof/>
          <w:sz w:val="22"/>
        </w:rPr>
        <w:t xml:space="preserve">, </w:t>
      </w:r>
      <w:r w:rsidRPr="00597B3F">
        <w:rPr>
          <w:rFonts w:ascii="Calibri" w:hAnsi="Calibri"/>
          <w:b/>
          <w:bCs/>
          <w:noProof/>
          <w:sz w:val="22"/>
        </w:rPr>
        <w:t>8</w:t>
      </w:r>
      <w:r w:rsidRPr="00597B3F">
        <w:rPr>
          <w:rFonts w:ascii="Calibri" w:hAnsi="Calibri"/>
          <w:noProof/>
          <w:sz w:val="22"/>
        </w:rPr>
        <w:t>, 1–13.</w:t>
      </w:r>
    </w:p>
    <w:p w14:paraId="10371E35" w14:textId="4C283BDA" w:rsidR="00AC4B79" w:rsidRDefault="00A01BDC" w:rsidP="00915746">
      <w:r w:rsidRPr="00597B3F">
        <w:fldChar w:fldCharType="end"/>
      </w:r>
    </w:p>
    <w:p w14:paraId="49C0F6FB" w14:textId="77777777" w:rsidR="00296070" w:rsidRDefault="00296070" w:rsidP="00915746"/>
    <w:p w14:paraId="0ACFE583" w14:textId="77777777" w:rsidR="00296070" w:rsidRDefault="00296070" w:rsidP="00915746"/>
    <w:p w14:paraId="64A47C66" w14:textId="77777777" w:rsidR="00296070" w:rsidRDefault="00296070" w:rsidP="00915746"/>
    <w:p w14:paraId="15453C89" w14:textId="77777777" w:rsidR="00296070" w:rsidRDefault="00296070" w:rsidP="00915746"/>
    <w:p w14:paraId="1C300154" w14:textId="77777777" w:rsidR="00296070" w:rsidRDefault="00296070" w:rsidP="00915746"/>
    <w:p w14:paraId="78AFB7C6" w14:textId="77777777" w:rsidR="00296070" w:rsidRDefault="00296070" w:rsidP="00915746"/>
    <w:p w14:paraId="082A12FB" w14:textId="77777777" w:rsidR="00296070" w:rsidRDefault="00296070" w:rsidP="00915746"/>
    <w:p w14:paraId="606516E7" w14:textId="404D947C" w:rsidR="00296070" w:rsidRPr="00EC57C2" w:rsidRDefault="00296070" w:rsidP="00915746">
      <w:pPr>
        <w:rPr>
          <w:i/>
        </w:rPr>
      </w:pPr>
      <w:r w:rsidRPr="00EC57C2">
        <w:rPr>
          <w:i/>
        </w:rPr>
        <w:lastRenderedPageBreak/>
        <w:t xml:space="preserve">Figure S1 - </w:t>
      </w:r>
      <w:r w:rsidR="00EC57C2" w:rsidRPr="00EC57C2">
        <w:rPr>
          <w:i/>
        </w:rPr>
        <w:t xml:space="preserve">relationships between hydrological metrics and intraspecific variation in wood density for </w:t>
      </w:r>
      <w:r w:rsidR="00EC57C2" w:rsidRPr="00EC57C2">
        <w:t xml:space="preserve">Casuarina </w:t>
      </w:r>
      <w:proofErr w:type="spellStart"/>
      <w:r w:rsidR="00EC57C2" w:rsidRPr="00EC57C2">
        <w:t>cunninghamiana</w:t>
      </w:r>
      <w:proofErr w:type="spellEnd"/>
      <w:r w:rsidR="00EC57C2" w:rsidRPr="00EC57C2">
        <w:rPr>
          <w:i/>
        </w:rPr>
        <w:t>.</w:t>
      </w:r>
    </w:p>
    <w:p w14:paraId="3317BD38" w14:textId="77777777" w:rsidR="00AC4B79" w:rsidRPr="00597B3F" w:rsidRDefault="00AC4B79" w:rsidP="003E268A">
      <w:pPr>
        <w:keepNext/>
        <w:rPr>
          <w:noProof/>
          <w:lang w:eastAsia="en-AU"/>
        </w:rPr>
      </w:pPr>
    </w:p>
    <w:p w14:paraId="3AC26C77" w14:textId="533AF84F" w:rsidR="00A01BDC" w:rsidRPr="00597B3F" w:rsidRDefault="00915746" w:rsidP="003E268A">
      <w:pPr>
        <w:keepNext/>
      </w:pPr>
      <w:r w:rsidRPr="00597B3F">
        <w:rPr>
          <w:noProof/>
          <w:lang w:eastAsia="en-AU"/>
        </w:rPr>
        <w:drawing>
          <wp:inline distT="0" distB="0" distL="0" distR="0" wp14:anchorId="1854C3F8" wp14:editId="050FD9EE">
            <wp:extent cx="5167895" cy="443180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7895" cy="4431801"/>
                    </a:xfrm>
                    <a:prstGeom prst="rect">
                      <a:avLst/>
                    </a:prstGeom>
                  </pic:spPr>
                </pic:pic>
              </a:graphicData>
            </a:graphic>
          </wp:inline>
        </w:drawing>
      </w:r>
    </w:p>
    <w:p w14:paraId="6D1A2610" w14:textId="1C8EF8C1" w:rsidR="00607FB8" w:rsidRPr="00597B3F" w:rsidRDefault="003E268A" w:rsidP="00607FB8">
      <w:pPr>
        <w:pStyle w:val="Caption"/>
        <w:spacing w:line="360" w:lineRule="auto"/>
        <w:jc w:val="both"/>
        <w:rPr>
          <w:color w:val="auto"/>
          <w:sz w:val="22"/>
          <w:szCs w:val="22"/>
        </w:rPr>
      </w:pPr>
      <w:r w:rsidRPr="00597B3F">
        <w:rPr>
          <w:b/>
          <w:color w:val="auto"/>
          <w:sz w:val="22"/>
          <w:szCs w:val="22"/>
        </w:rPr>
        <w:t xml:space="preserve">Figure </w:t>
      </w:r>
      <w:r w:rsidR="00B4572B" w:rsidRPr="00597B3F">
        <w:rPr>
          <w:b/>
          <w:color w:val="auto"/>
          <w:sz w:val="22"/>
          <w:szCs w:val="22"/>
        </w:rPr>
        <w:t>1</w:t>
      </w:r>
      <w:r w:rsidR="004D335B" w:rsidRPr="00597B3F">
        <w:rPr>
          <w:color w:val="auto"/>
          <w:sz w:val="22"/>
          <w:szCs w:val="22"/>
        </w:rPr>
        <w:t>.</w:t>
      </w:r>
      <w:r w:rsidR="00607FB8" w:rsidRPr="00597B3F">
        <w:rPr>
          <w:color w:val="auto"/>
          <w:sz w:val="22"/>
          <w:szCs w:val="22"/>
        </w:rPr>
        <w:t xml:space="preserve"> Relationships between wood density</w:t>
      </w:r>
      <w:r w:rsidR="00830260" w:rsidRPr="00597B3F">
        <w:rPr>
          <w:color w:val="auto"/>
          <w:sz w:val="22"/>
          <w:szCs w:val="22"/>
        </w:rPr>
        <w:t xml:space="preserve"> of </w:t>
      </w:r>
      <w:r w:rsidR="00830260" w:rsidRPr="00597B3F">
        <w:rPr>
          <w:i w:val="0"/>
          <w:color w:val="auto"/>
          <w:sz w:val="22"/>
          <w:szCs w:val="22"/>
        </w:rPr>
        <w:t xml:space="preserve">Casuarina </w:t>
      </w:r>
      <w:proofErr w:type="spellStart"/>
      <w:r w:rsidR="00830260" w:rsidRPr="00597B3F">
        <w:rPr>
          <w:i w:val="0"/>
          <w:color w:val="auto"/>
          <w:sz w:val="22"/>
          <w:szCs w:val="22"/>
        </w:rPr>
        <w:t>cunninghamiana</w:t>
      </w:r>
      <w:proofErr w:type="spellEnd"/>
      <w:r w:rsidR="00607FB8" w:rsidRPr="00597B3F">
        <w:rPr>
          <w:color w:val="auto"/>
          <w:sz w:val="22"/>
          <w:szCs w:val="22"/>
        </w:rPr>
        <w:t xml:space="preserve"> and hydrological metrics describing a.) </w:t>
      </w:r>
      <w:proofErr w:type="spellStart"/>
      <w:proofErr w:type="gramStart"/>
      <w:r w:rsidR="00607FB8" w:rsidRPr="00597B3F">
        <w:rPr>
          <w:color w:val="auto"/>
          <w:sz w:val="22"/>
          <w:szCs w:val="22"/>
        </w:rPr>
        <w:t>interannual</w:t>
      </w:r>
      <w:proofErr w:type="spellEnd"/>
      <w:proofErr w:type="gramEnd"/>
      <w:r w:rsidR="00607FB8" w:rsidRPr="00597B3F">
        <w:rPr>
          <w:color w:val="auto"/>
          <w:sz w:val="22"/>
          <w:szCs w:val="22"/>
        </w:rPr>
        <w:t xml:space="preserve"> variability in </w:t>
      </w:r>
      <w:proofErr w:type="spellStart"/>
      <w:r w:rsidR="00607FB8" w:rsidRPr="00597B3F">
        <w:rPr>
          <w:color w:val="auto"/>
          <w:sz w:val="22"/>
          <w:szCs w:val="22"/>
        </w:rPr>
        <w:t>baseflow</w:t>
      </w:r>
      <w:proofErr w:type="spellEnd"/>
      <w:r w:rsidR="00607FB8" w:rsidRPr="00597B3F">
        <w:rPr>
          <w:color w:val="auto"/>
          <w:sz w:val="22"/>
          <w:szCs w:val="22"/>
        </w:rPr>
        <w:t xml:space="preserve"> index (</w:t>
      </w:r>
      <w:proofErr w:type="spellStart"/>
      <w:r w:rsidR="00607FB8" w:rsidRPr="00597B3F">
        <w:rPr>
          <w:color w:val="auto"/>
          <w:sz w:val="22"/>
          <w:szCs w:val="22"/>
        </w:rPr>
        <w:t>CVAnnBFI</w:t>
      </w:r>
      <w:proofErr w:type="spellEnd"/>
      <w:r w:rsidR="00607FB8" w:rsidRPr="00597B3F">
        <w:rPr>
          <w:color w:val="auto"/>
          <w:sz w:val="22"/>
          <w:szCs w:val="22"/>
        </w:rPr>
        <w:t>)</w:t>
      </w:r>
      <w:r w:rsidR="00DE2A88" w:rsidRPr="00597B3F">
        <w:rPr>
          <w:color w:val="auto"/>
          <w:sz w:val="22"/>
          <w:szCs w:val="22"/>
        </w:rPr>
        <w:t xml:space="preserve"> (R</w:t>
      </w:r>
      <w:r w:rsidR="00DE2A88" w:rsidRPr="00597B3F">
        <w:rPr>
          <w:color w:val="auto"/>
          <w:sz w:val="22"/>
          <w:szCs w:val="22"/>
          <w:vertAlign w:val="superscript"/>
        </w:rPr>
        <w:t>2</w:t>
      </w:r>
      <w:r w:rsidR="00DE2A88" w:rsidRPr="00597B3F">
        <w:rPr>
          <w:color w:val="auto"/>
          <w:sz w:val="22"/>
          <w:szCs w:val="22"/>
        </w:rPr>
        <w:t xml:space="preserve"> = 0.963 , P = 0.003);</w:t>
      </w:r>
      <w:r w:rsidR="00607FB8" w:rsidRPr="00597B3F">
        <w:rPr>
          <w:color w:val="auto"/>
          <w:sz w:val="22"/>
          <w:szCs w:val="22"/>
        </w:rPr>
        <w:t xml:space="preserve"> b.) </w:t>
      </w:r>
      <w:proofErr w:type="gramStart"/>
      <w:r w:rsidR="00607FB8" w:rsidRPr="00597B3F">
        <w:rPr>
          <w:color w:val="auto"/>
          <w:sz w:val="22"/>
          <w:szCs w:val="22"/>
        </w:rPr>
        <w:t>contingency</w:t>
      </w:r>
      <w:proofErr w:type="gramEnd"/>
      <w:r w:rsidR="00607FB8" w:rsidRPr="00597B3F">
        <w:rPr>
          <w:color w:val="auto"/>
          <w:sz w:val="22"/>
          <w:szCs w:val="22"/>
        </w:rPr>
        <w:t xml:space="preserve"> of m</w:t>
      </w:r>
      <w:r w:rsidR="00DE2A88" w:rsidRPr="00597B3F">
        <w:rPr>
          <w:color w:val="auto"/>
          <w:sz w:val="22"/>
          <w:szCs w:val="22"/>
        </w:rPr>
        <w:t>onthly mean daily flow (M_MDFM) (R</w:t>
      </w:r>
      <w:r w:rsidR="00DE2A88" w:rsidRPr="00597B3F">
        <w:rPr>
          <w:color w:val="auto"/>
          <w:sz w:val="22"/>
          <w:szCs w:val="22"/>
          <w:vertAlign w:val="superscript"/>
        </w:rPr>
        <w:t>2</w:t>
      </w:r>
      <w:r w:rsidR="00DE2A88" w:rsidRPr="00597B3F">
        <w:rPr>
          <w:color w:val="auto"/>
          <w:sz w:val="22"/>
          <w:szCs w:val="22"/>
        </w:rPr>
        <w:t xml:space="preserve"> = 0.826 , P = 0.033 );</w:t>
      </w:r>
      <w:r w:rsidR="004F64D1" w:rsidRPr="00597B3F">
        <w:rPr>
          <w:color w:val="auto"/>
          <w:sz w:val="22"/>
          <w:szCs w:val="22"/>
        </w:rPr>
        <w:t xml:space="preserve"> c.) </w:t>
      </w:r>
      <w:proofErr w:type="gramStart"/>
      <w:r w:rsidR="004F64D1" w:rsidRPr="00597B3F">
        <w:rPr>
          <w:color w:val="auto"/>
          <w:sz w:val="22"/>
          <w:szCs w:val="22"/>
        </w:rPr>
        <w:t>contingency</w:t>
      </w:r>
      <w:proofErr w:type="gramEnd"/>
      <w:r w:rsidR="004F64D1" w:rsidRPr="00597B3F">
        <w:rPr>
          <w:color w:val="auto"/>
          <w:sz w:val="22"/>
          <w:szCs w:val="22"/>
        </w:rPr>
        <w:t xml:space="preserve"> of monthly minimum daily flow (</w:t>
      </w:r>
      <w:proofErr w:type="spellStart"/>
      <w:r w:rsidR="004F64D1" w:rsidRPr="00597B3F">
        <w:rPr>
          <w:color w:val="auto"/>
          <w:sz w:val="22"/>
          <w:szCs w:val="22"/>
        </w:rPr>
        <w:t>M_MinM</w:t>
      </w:r>
      <w:proofErr w:type="spellEnd"/>
      <w:r w:rsidR="004F64D1" w:rsidRPr="00597B3F">
        <w:rPr>
          <w:color w:val="auto"/>
          <w:sz w:val="22"/>
          <w:szCs w:val="22"/>
        </w:rPr>
        <w:t>)</w:t>
      </w:r>
      <w:r w:rsidR="00DE2A88" w:rsidRPr="00597B3F">
        <w:rPr>
          <w:color w:val="auto"/>
          <w:sz w:val="22"/>
          <w:szCs w:val="22"/>
        </w:rPr>
        <w:t xml:space="preserve"> (R</w:t>
      </w:r>
      <w:r w:rsidR="00DE2A88" w:rsidRPr="00597B3F">
        <w:rPr>
          <w:color w:val="auto"/>
          <w:sz w:val="22"/>
          <w:szCs w:val="22"/>
          <w:vertAlign w:val="superscript"/>
        </w:rPr>
        <w:t>2</w:t>
      </w:r>
      <w:r w:rsidR="00DE2A88" w:rsidRPr="00597B3F">
        <w:rPr>
          <w:color w:val="auto"/>
          <w:sz w:val="22"/>
          <w:szCs w:val="22"/>
        </w:rPr>
        <w:t xml:space="preserve"> = 0.812 , P = 0.037 );</w:t>
      </w:r>
      <w:r w:rsidR="004F64D1" w:rsidRPr="00597B3F">
        <w:rPr>
          <w:color w:val="auto"/>
          <w:sz w:val="22"/>
          <w:szCs w:val="22"/>
        </w:rPr>
        <w:t xml:space="preserve"> </w:t>
      </w:r>
      <w:r w:rsidR="00607FB8" w:rsidRPr="00597B3F">
        <w:rPr>
          <w:color w:val="auto"/>
          <w:sz w:val="22"/>
          <w:szCs w:val="22"/>
        </w:rPr>
        <w:t xml:space="preserve"> </w:t>
      </w:r>
      <w:r w:rsidR="004F64D1" w:rsidRPr="00597B3F">
        <w:rPr>
          <w:color w:val="auto"/>
          <w:sz w:val="22"/>
          <w:szCs w:val="22"/>
        </w:rPr>
        <w:t>d</w:t>
      </w:r>
      <w:r w:rsidR="00607FB8" w:rsidRPr="00597B3F">
        <w:rPr>
          <w:color w:val="auto"/>
          <w:sz w:val="22"/>
          <w:szCs w:val="22"/>
        </w:rPr>
        <w:t xml:space="preserve">.) </w:t>
      </w:r>
      <w:proofErr w:type="gramStart"/>
      <w:r w:rsidR="00DE2A88" w:rsidRPr="00597B3F">
        <w:rPr>
          <w:color w:val="auto"/>
          <w:sz w:val="22"/>
          <w:szCs w:val="22"/>
        </w:rPr>
        <w:t>m</w:t>
      </w:r>
      <w:r w:rsidR="004F64D1" w:rsidRPr="00597B3F">
        <w:rPr>
          <w:color w:val="auto"/>
          <w:sz w:val="22"/>
          <w:szCs w:val="22"/>
        </w:rPr>
        <w:t>ean</w:t>
      </w:r>
      <w:proofErr w:type="gramEnd"/>
      <w:r w:rsidR="004F64D1" w:rsidRPr="00597B3F">
        <w:rPr>
          <w:color w:val="auto"/>
          <w:sz w:val="22"/>
          <w:szCs w:val="22"/>
        </w:rPr>
        <w:t xml:space="preserve"> flood rise rate (</w:t>
      </w:r>
      <w:proofErr w:type="spellStart"/>
      <w:r w:rsidR="004F64D1" w:rsidRPr="00597B3F">
        <w:rPr>
          <w:color w:val="auto"/>
          <w:sz w:val="22"/>
          <w:szCs w:val="22"/>
        </w:rPr>
        <w:t>MRateRise</w:t>
      </w:r>
      <w:proofErr w:type="spellEnd"/>
      <w:r w:rsidR="00607FB8" w:rsidRPr="00597B3F">
        <w:rPr>
          <w:color w:val="auto"/>
          <w:sz w:val="22"/>
          <w:szCs w:val="22"/>
        </w:rPr>
        <w:t>)</w:t>
      </w:r>
      <w:r w:rsidR="00DE2A88" w:rsidRPr="00597B3F">
        <w:rPr>
          <w:color w:val="auto"/>
          <w:sz w:val="22"/>
          <w:szCs w:val="22"/>
        </w:rPr>
        <w:t xml:space="preserve"> ) (R</w:t>
      </w:r>
      <w:r w:rsidR="00DE2A88" w:rsidRPr="00597B3F">
        <w:rPr>
          <w:color w:val="auto"/>
          <w:sz w:val="22"/>
          <w:szCs w:val="22"/>
          <w:vertAlign w:val="superscript"/>
        </w:rPr>
        <w:t>2</w:t>
      </w:r>
      <w:r w:rsidR="00DE2A88" w:rsidRPr="00597B3F">
        <w:rPr>
          <w:color w:val="auto"/>
          <w:sz w:val="22"/>
          <w:szCs w:val="22"/>
        </w:rPr>
        <w:t xml:space="preserve"> = 0.885, P = 0.017)</w:t>
      </w:r>
      <w:r w:rsidR="00607FB8" w:rsidRPr="00597B3F">
        <w:rPr>
          <w:color w:val="auto"/>
          <w:sz w:val="22"/>
          <w:szCs w:val="22"/>
        </w:rPr>
        <w:t>. Shaded areas depict the 95% confidence interval around the regression model.</w:t>
      </w:r>
    </w:p>
    <w:p w14:paraId="1F331D64" w14:textId="77777777" w:rsidR="003E268A" w:rsidRPr="00597B3F" w:rsidRDefault="003E268A" w:rsidP="003E268A">
      <w:pPr>
        <w:pStyle w:val="Caption"/>
        <w:rPr>
          <w:color w:val="auto"/>
        </w:rPr>
      </w:pPr>
    </w:p>
    <w:p w14:paraId="6D734CF3" w14:textId="77777777" w:rsidR="00AC4B79" w:rsidRPr="00597B3F" w:rsidRDefault="00AC4B79" w:rsidP="00AC4B79"/>
    <w:p w14:paraId="1DB9C47C" w14:textId="77777777" w:rsidR="00AC4B79" w:rsidRPr="00597B3F" w:rsidRDefault="00AC4B79" w:rsidP="00AC4B79">
      <w:bookmarkStart w:id="0" w:name="_GoBack"/>
      <w:bookmarkEnd w:id="0"/>
    </w:p>
    <w:sectPr w:rsidR="00AC4B79" w:rsidRPr="00597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61"/>
    <w:rsid w:val="00060A29"/>
    <w:rsid w:val="00110B0B"/>
    <w:rsid w:val="001B201E"/>
    <w:rsid w:val="00296070"/>
    <w:rsid w:val="002E63F9"/>
    <w:rsid w:val="00305B61"/>
    <w:rsid w:val="00392927"/>
    <w:rsid w:val="003D0F26"/>
    <w:rsid w:val="003E268A"/>
    <w:rsid w:val="00400B64"/>
    <w:rsid w:val="00410D62"/>
    <w:rsid w:val="004D335B"/>
    <w:rsid w:val="004F64D1"/>
    <w:rsid w:val="0052143A"/>
    <w:rsid w:val="00527690"/>
    <w:rsid w:val="005510C6"/>
    <w:rsid w:val="0058121E"/>
    <w:rsid w:val="00596A58"/>
    <w:rsid w:val="00597B3F"/>
    <w:rsid w:val="005E3173"/>
    <w:rsid w:val="00607CBB"/>
    <w:rsid w:val="00607FB8"/>
    <w:rsid w:val="00642A95"/>
    <w:rsid w:val="0068431B"/>
    <w:rsid w:val="006D03B5"/>
    <w:rsid w:val="00830260"/>
    <w:rsid w:val="0084494E"/>
    <w:rsid w:val="0089276F"/>
    <w:rsid w:val="00915746"/>
    <w:rsid w:val="00941FCA"/>
    <w:rsid w:val="009A27A2"/>
    <w:rsid w:val="00A01BDC"/>
    <w:rsid w:val="00A10EF6"/>
    <w:rsid w:val="00AC4B79"/>
    <w:rsid w:val="00AE09D4"/>
    <w:rsid w:val="00B266DF"/>
    <w:rsid w:val="00B4572B"/>
    <w:rsid w:val="00B81F23"/>
    <w:rsid w:val="00BC3D62"/>
    <w:rsid w:val="00C677CB"/>
    <w:rsid w:val="00CB3F77"/>
    <w:rsid w:val="00CE59EC"/>
    <w:rsid w:val="00D40A73"/>
    <w:rsid w:val="00D54B12"/>
    <w:rsid w:val="00DC0702"/>
    <w:rsid w:val="00DE2A88"/>
    <w:rsid w:val="00DE413E"/>
    <w:rsid w:val="00E419D6"/>
    <w:rsid w:val="00EB7BA5"/>
    <w:rsid w:val="00EC57C2"/>
    <w:rsid w:val="00EE3E65"/>
    <w:rsid w:val="00EE65C6"/>
    <w:rsid w:val="00FB29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D2BA"/>
  <w15:chartTrackingRefBased/>
  <w15:docId w15:val="{CA065B8A-469A-46FB-B5C9-4841325A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0B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41FCA"/>
    <w:rPr>
      <w:sz w:val="16"/>
      <w:szCs w:val="16"/>
    </w:rPr>
  </w:style>
  <w:style w:type="paragraph" w:styleId="CommentText">
    <w:name w:val="annotation text"/>
    <w:basedOn w:val="Normal"/>
    <w:link w:val="CommentTextChar"/>
    <w:uiPriority w:val="99"/>
    <w:semiHidden/>
    <w:unhideWhenUsed/>
    <w:rsid w:val="00941FCA"/>
    <w:pPr>
      <w:spacing w:line="240" w:lineRule="auto"/>
    </w:pPr>
    <w:rPr>
      <w:rFonts w:eastAsia="MS Mincho"/>
      <w:sz w:val="20"/>
      <w:szCs w:val="20"/>
    </w:rPr>
  </w:style>
  <w:style w:type="character" w:customStyle="1" w:styleId="CommentTextChar">
    <w:name w:val="Comment Text Char"/>
    <w:basedOn w:val="DefaultParagraphFont"/>
    <w:link w:val="CommentText"/>
    <w:uiPriority w:val="99"/>
    <w:semiHidden/>
    <w:rsid w:val="00941FCA"/>
    <w:rPr>
      <w:rFonts w:eastAsia="MS Mincho"/>
      <w:sz w:val="20"/>
      <w:szCs w:val="20"/>
    </w:rPr>
  </w:style>
  <w:style w:type="paragraph" w:styleId="BalloonText">
    <w:name w:val="Balloon Text"/>
    <w:basedOn w:val="Normal"/>
    <w:link w:val="BalloonTextChar"/>
    <w:uiPriority w:val="99"/>
    <w:semiHidden/>
    <w:unhideWhenUsed/>
    <w:rsid w:val="0094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FCA"/>
    <w:rPr>
      <w:rFonts w:ascii="Segoe UI" w:hAnsi="Segoe UI" w:cs="Segoe UI"/>
      <w:sz w:val="18"/>
      <w:szCs w:val="18"/>
    </w:rPr>
  </w:style>
  <w:style w:type="table" w:styleId="TableGrid">
    <w:name w:val="Table Grid"/>
    <w:basedOn w:val="TableNormal"/>
    <w:uiPriority w:val="39"/>
    <w:rsid w:val="00CE5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1BDC"/>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2188">
      <w:bodyDiv w:val="1"/>
      <w:marLeft w:val="0"/>
      <w:marRight w:val="0"/>
      <w:marTop w:val="0"/>
      <w:marBottom w:val="0"/>
      <w:divBdr>
        <w:top w:val="none" w:sz="0" w:space="0" w:color="auto"/>
        <w:left w:val="none" w:sz="0" w:space="0" w:color="auto"/>
        <w:bottom w:val="none" w:sz="0" w:space="0" w:color="auto"/>
        <w:right w:val="none" w:sz="0" w:space="0" w:color="auto"/>
      </w:divBdr>
    </w:div>
    <w:div w:id="41681377">
      <w:bodyDiv w:val="1"/>
      <w:marLeft w:val="0"/>
      <w:marRight w:val="0"/>
      <w:marTop w:val="0"/>
      <w:marBottom w:val="0"/>
      <w:divBdr>
        <w:top w:val="none" w:sz="0" w:space="0" w:color="auto"/>
        <w:left w:val="none" w:sz="0" w:space="0" w:color="auto"/>
        <w:bottom w:val="none" w:sz="0" w:space="0" w:color="auto"/>
        <w:right w:val="none" w:sz="0" w:space="0" w:color="auto"/>
      </w:divBdr>
    </w:div>
    <w:div w:id="188563907">
      <w:bodyDiv w:val="1"/>
      <w:marLeft w:val="0"/>
      <w:marRight w:val="0"/>
      <w:marTop w:val="0"/>
      <w:marBottom w:val="0"/>
      <w:divBdr>
        <w:top w:val="none" w:sz="0" w:space="0" w:color="auto"/>
        <w:left w:val="none" w:sz="0" w:space="0" w:color="auto"/>
        <w:bottom w:val="none" w:sz="0" w:space="0" w:color="auto"/>
        <w:right w:val="none" w:sz="0" w:space="0" w:color="auto"/>
      </w:divBdr>
    </w:div>
    <w:div w:id="271062171">
      <w:bodyDiv w:val="1"/>
      <w:marLeft w:val="0"/>
      <w:marRight w:val="0"/>
      <w:marTop w:val="0"/>
      <w:marBottom w:val="0"/>
      <w:divBdr>
        <w:top w:val="none" w:sz="0" w:space="0" w:color="auto"/>
        <w:left w:val="none" w:sz="0" w:space="0" w:color="auto"/>
        <w:bottom w:val="none" w:sz="0" w:space="0" w:color="auto"/>
        <w:right w:val="none" w:sz="0" w:space="0" w:color="auto"/>
      </w:divBdr>
    </w:div>
    <w:div w:id="471024265">
      <w:bodyDiv w:val="1"/>
      <w:marLeft w:val="0"/>
      <w:marRight w:val="0"/>
      <w:marTop w:val="0"/>
      <w:marBottom w:val="0"/>
      <w:divBdr>
        <w:top w:val="none" w:sz="0" w:space="0" w:color="auto"/>
        <w:left w:val="none" w:sz="0" w:space="0" w:color="auto"/>
        <w:bottom w:val="none" w:sz="0" w:space="0" w:color="auto"/>
        <w:right w:val="none" w:sz="0" w:space="0" w:color="auto"/>
      </w:divBdr>
    </w:div>
    <w:div w:id="726606291">
      <w:bodyDiv w:val="1"/>
      <w:marLeft w:val="0"/>
      <w:marRight w:val="0"/>
      <w:marTop w:val="0"/>
      <w:marBottom w:val="0"/>
      <w:divBdr>
        <w:top w:val="none" w:sz="0" w:space="0" w:color="auto"/>
        <w:left w:val="none" w:sz="0" w:space="0" w:color="auto"/>
        <w:bottom w:val="none" w:sz="0" w:space="0" w:color="auto"/>
        <w:right w:val="none" w:sz="0" w:space="0" w:color="auto"/>
      </w:divBdr>
    </w:div>
    <w:div w:id="828253459">
      <w:bodyDiv w:val="1"/>
      <w:marLeft w:val="0"/>
      <w:marRight w:val="0"/>
      <w:marTop w:val="0"/>
      <w:marBottom w:val="0"/>
      <w:divBdr>
        <w:top w:val="none" w:sz="0" w:space="0" w:color="auto"/>
        <w:left w:val="none" w:sz="0" w:space="0" w:color="auto"/>
        <w:bottom w:val="none" w:sz="0" w:space="0" w:color="auto"/>
        <w:right w:val="none" w:sz="0" w:space="0" w:color="auto"/>
      </w:divBdr>
    </w:div>
    <w:div w:id="954946475">
      <w:bodyDiv w:val="1"/>
      <w:marLeft w:val="0"/>
      <w:marRight w:val="0"/>
      <w:marTop w:val="0"/>
      <w:marBottom w:val="0"/>
      <w:divBdr>
        <w:top w:val="none" w:sz="0" w:space="0" w:color="auto"/>
        <w:left w:val="none" w:sz="0" w:space="0" w:color="auto"/>
        <w:bottom w:val="none" w:sz="0" w:space="0" w:color="auto"/>
        <w:right w:val="none" w:sz="0" w:space="0" w:color="auto"/>
      </w:divBdr>
    </w:div>
    <w:div w:id="1046024273">
      <w:bodyDiv w:val="1"/>
      <w:marLeft w:val="0"/>
      <w:marRight w:val="0"/>
      <w:marTop w:val="0"/>
      <w:marBottom w:val="0"/>
      <w:divBdr>
        <w:top w:val="none" w:sz="0" w:space="0" w:color="auto"/>
        <w:left w:val="none" w:sz="0" w:space="0" w:color="auto"/>
        <w:bottom w:val="none" w:sz="0" w:space="0" w:color="auto"/>
        <w:right w:val="none" w:sz="0" w:space="0" w:color="auto"/>
      </w:divBdr>
    </w:div>
    <w:div w:id="1399669642">
      <w:bodyDiv w:val="1"/>
      <w:marLeft w:val="0"/>
      <w:marRight w:val="0"/>
      <w:marTop w:val="0"/>
      <w:marBottom w:val="0"/>
      <w:divBdr>
        <w:top w:val="none" w:sz="0" w:space="0" w:color="auto"/>
        <w:left w:val="none" w:sz="0" w:space="0" w:color="auto"/>
        <w:bottom w:val="none" w:sz="0" w:space="0" w:color="auto"/>
        <w:right w:val="none" w:sz="0" w:space="0" w:color="auto"/>
      </w:divBdr>
    </w:div>
    <w:div w:id="1632401397">
      <w:bodyDiv w:val="1"/>
      <w:marLeft w:val="0"/>
      <w:marRight w:val="0"/>
      <w:marTop w:val="0"/>
      <w:marBottom w:val="0"/>
      <w:divBdr>
        <w:top w:val="none" w:sz="0" w:space="0" w:color="auto"/>
        <w:left w:val="none" w:sz="0" w:space="0" w:color="auto"/>
        <w:bottom w:val="none" w:sz="0" w:space="0" w:color="auto"/>
        <w:right w:val="none" w:sz="0" w:space="0" w:color="auto"/>
      </w:divBdr>
    </w:div>
    <w:div w:id="1744910433">
      <w:bodyDiv w:val="1"/>
      <w:marLeft w:val="0"/>
      <w:marRight w:val="0"/>
      <w:marTop w:val="0"/>
      <w:marBottom w:val="0"/>
      <w:divBdr>
        <w:top w:val="none" w:sz="0" w:space="0" w:color="auto"/>
        <w:left w:val="none" w:sz="0" w:space="0" w:color="auto"/>
        <w:bottom w:val="none" w:sz="0" w:space="0" w:color="auto"/>
        <w:right w:val="none" w:sz="0" w:space="0" w:color="auto"/>
      </w:divBdr>
    </w:div>
    <w:div w:id="1796411260">
      <w:bodyDiv w:val="1"/>
      <w:marLeft w:val="0"/>
      <w:marRight w:val="0"/>
      <w:marTop w:val="0"/>
      <w:marBottom w:val="0"/>
      <w:divBdr>
        <w:top w:val="none" w:sz="0" w:space="0" w:color="auto"/>
        <w:left w:val="none" w:sz="0" w:space="0" w:color="auto"/>
        <w:bottom w:val="none" w:sz="0" w:space="0" w:color="auto"/>
        <w:right w:val="none" w:sz="0" w:space="0" w:color="auto"/>
      </w:divBdr>
    </w:div>
    <w:div w:id="1914771810">
      <w:bodyDiv w:val="1"/>
      <w:marLeft w:val="0"/>
      <w:marRight w:val="0"/>
      <w:marTop w:val="0"/>
      <w:marBottom w:val="0"/>
      <w:divBdr>
        <w:top w:val="none" w:sz="0" w:space="0" w:color="auto"/>
        <w:left w:val="none" w:sz="0" w:space="0" w:color="auto"/>
        <w:bottom w:val="none" w:sz="0" w:space="0" w:color="auto"/>
        <w:right w:val="none" w:sz="0" w:space="0" w:color="auto"/>
      </w:divBdr>
    </w:div>
    <w:div w:id="207978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615A1-9E9A-4F76-AD07-7B02F984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21</cp:revision>
  <dcterms:created xsi:type="dcterms:W3CDTF">2014-11-06T22:12:00Z</dcterms:created>
  <dcterms:modified xsi:type="dcterms:W3CDTF">2015-04-08T04:24:00Z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